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001-40552</w:t>
      </w:r>
    </w:p>
    <w:p>
      <w:pPr>
        <w:spacing w:after="0" w:line="22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NYXOAH SA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Rue Edouard Belin 12, 1435 Mont-Saint-Guibert, Belgium</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77"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Nyxoah SA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 2021 and October 4, 2021, Nyxoah SA (the “Company”) issued press releases, copies of which are attached hereto as Exhibits 99.1 and 99.2,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in the attached Exhibit 99.1 and 99.2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October 1, 2021</w:t>
        </w:r>
      </w:hyperlink>
    </w:p>
    <w:p>
      <w:pPr>
        <w:spacing w:after="0" w:line="23"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hyperlink w:anchor="page6">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6">
        <w:r>
          <w:rPr>
            <w:rFonts w:ascii="Arial" w:cs="Arial" w:eastAsia="Arial" w:hAnsi="Arial"/>
            <w:sz w:val="15"/>
            <w:szCs w:val="15"/>
            <w:u w:val="single" w:color="auto"/>
            <w:color w:val="0000EE"/>
          </w:rPr>
          <w:t>Press Release, dated October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NYXOAH SA</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Fabian Suarez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Fabian Suarez Gonzalez,</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acting via ActuaRisk Consulting SRL</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154305</wp:posOffset>
            </wp:positionV>
            <wp:extent cx="220281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28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REGULATED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on the total number of voting rights and shares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Mont-Saint-Guibert (Belgium), October 1, 2021, 10:30 pm CET / 4:30 pm ET – </w:t>
      </w:r>
      <w:r>
        <w:rPr>
          <w:rFonts w:ascii="Arial" w:cs="Arial" w:eastAsia="Arial" w:hAnsi="Arial"/>
          <w:sz w:val="18"/>
          <w:szCs w:val="18"/>
          <w:color w:val="auto"/>
        </w:rPr>
        <w:t>In accordance with article 15 of the Law of 2 May 2007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of large shareholdings, Nyxoah SA (Euronext Brussels and Nasdaq: NYXH) publishes the below information following the issue of 27,000 new shares on September 30, 2021 pursuant to the exercise of subscription rights.</w:t>
      </w:r>
    </w:p>
    <w:p>
      <w:pPr>
        <w:spacing w:after="0" w:line="180" w:lineRule="exact"/>
        <w:rPr>
          <w:sz w:val="20"/>
          <w:szCs w:val="20"/>
          <w:color w:val="auto"/>
        </w:rPr>
      </w:pPr>
    </w:p>
    <w:p>
      <w:pPr>
        <w:ind w:left="560" w:hanging="32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 capital: EUR 4,388,714.69</w:t>
      </w:r>
    </w:p>
    <w:p>
      <w:pPr>
        <w:spacing w:after="0" w:line="23" w:lineRule="exact"/>
        <w:rPr>
          <w:rFonts w:ascii="Arial" w:cs="Arial" w:eastAsia="Arial" w:hAnsi="Arial"/>
          <w:sz w:val="18"/>
          <w:szCs w:val="18"/>
          <w:color w:val="auto"/>
        </w:rPr>
      </w:pPr>
    </w:p>
    <w:p>
      <w:pPr>
        <w:ind w:left="560" w:hanging="32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number of securities carrying voting rights: 25,547,359 (all ordinary shares)</w:t>
      </w:r>
    </w:p>
    <w:p>
      <w:pPr>
        <w:spacing w:after="0" w:line="9" w:lineRule="exact"/>
        <w:rPr>
          <w:rFonts w:ascii="Arial" w:cs="Arial" w:eastAsia="Arial" w:hAnsi="Arial"/>
          <w:sz w:val="18"/>
          <w:szCs w:val="18"/>
          <w:color w:val="auto"/>
        </w:rPr>
      </w:pPr>
    </w:p>
    <w:p>
      <w:pPr>
        <w:ind w:left="560" w:hanging="32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number of voting rights (= denominator): 25,547,359 (all relating to ordinary shares)</w:t>
      </w:r>
    </w:p>
    <w:p>
      <w:pPr>
        <w:spacing w:after="0" w:line="9" w:lineRule="exact"/>
        <w:rPr>
          <w:rFonts w:ascii="Arial" w:cs="Arial" w:eastAsia="Arial" w:hAnsi="Arial"/>
          <w:sz w:val="18"/>
          <w:szCs w:val="18"/>
          <w:color w:val="auto"/>
        </w:rPr>
      </w:pPr>
    </w:p>
    <w:p>
      <w:pPr>
        <w:ind w:left="560" w:hanging="323"/>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rights to subscribe to securities carrying voting rights not yet issued:</w:t>
      </w:r>
    </w:p>
    <w:p>
      <w:pPr>
        <w:spacing w:after="0" w:line="211" w:lineRule="exact"/>
        <w:rPr>
          <w:sz w:val="20"/>
          <w:szCs w:val="20"/>
          <w:color w:val="auto"/>
        </w:rPr>
      </w:pPr>
    </w:p>
    <w:p>
      <w:pPr>
        <w:ind w:left="1200" w:right="100" w:hanging="315"/>
        <w:spacing w:after="0" w:line="258"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91 “2013 ESOP Warrants” issued on May 3, 2013 and 23 December 2014, entitling their holders to subscribe to a total number of 45,500 securities carrying voting rights (all ordinary shares);</w:t>
      </w:r>
    </w:p>
    <w:p>
      <w:pPr>
        <w:spacing w:after="0" w:line="1" w:lineRule="exact"/>
        <w:rPr>
          <w:rFonts w:ascii="Arial" w:cs="Arial" w:eastAsia="Arial" w:hAnsi="Arial"/>
          <w:sz w:val="18"/>
          <w:szCs w:val="18"/>
          <w:color w:val="auto"/>
        </w:rPr>
      </w:pPr>
    </w:p>
    <w:p>
      <w:pPr>
        <w:ind w:left="1200" w:right="100" w:hanging="315"/>
        <w:spacing w:after="0" w:line="250"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205 “2016 ESOP Warrants” issued on November 3, 2016, entitling their holders to subscribe to a total number of 102,500 securities carrying voting rights (all ordinary shares);</w:t>
      </w:r>
    </w:p>
    <w:p>
      <w:pPr>
        <w:ind w:left="1200" w:right="100" w:hanging="315"/>
        <w:spacing w:after="0" w:line="250"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299 “2018 ESOP Warrants” issued on December 12, 2018, entitling their holders to subscribe to a total number of 149,500 securities carrying voting rights (all ordinary shares);</w:t>
      </w:r>
    </w:p>
    <w:p>
      <w:pPr>
        <w:ind w:left="1200" w:right="80" w:hanging="315"/>
        <w:spacing w:after="0" w:line="250"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520,500 “2020 ESOP Warrants” issued on February 21, 2020, entitling their holders to subscribe to a total number of 520,500 securities carrying voting rights (all ordinary shares); and</w:t>
      </w:r>
    </w:p>
    <w:p>
      <w:pPr>
        <w:ind w:left="1200" w:right="80" w:hanging="315"/>
        <w:spacing w:after="0" w:line="260"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1,400,000 “2021 ESOP Warrants” issued on September 8, 2021, entitling their holders to subscribe to a total number of 1,400,000 securities carrying voting rights (all ordinary shares).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ind w:left="536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Nyxoah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Fabian Suarez,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corporate@nyxoah.com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 (0)10 22 24 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Gilmartin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Vivian Cervantes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IR@nyxoah.com</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168910</wp:posOffset>
            </wp:positionV>
            <wp:extent cx="1791335"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INSIDE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REGULATED INFORMATION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Nyxoah Announces CE-Mark Indication Approval to Treat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Complete Concentric Collapse (CCC) Patients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Notified Body DEKRA approves IFU changes to remove warning regarding CCC patients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Mont-Saint-Guibert, Belgium – October 4, 2021, 10:30pm CET / 4:30pm ET – Nyxoah SA (Euronext Brussels/Nasdaq: NYXH) </w:t>
      </w:r>
      <w:r>
        <w:rPr>
          <w:rFonts w:ascii="Arial" w:cs="Arial" w:eastAsia="Arial" w:hAnsi="Arial"/>
          <w:sz w:val="16"/>
          <w:szCs w:val="16"/>
          <w:color w:val="auto"/>
        </w:rPr>
        <w:t>(“Nyxoah”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medical technology company focused on the development and commercialization of innovative solutions to treat Obstructive Sleep Apnea (OSA), today announced that DEKRA Notified Body has approved the Company’s proposed indication for the Genio® system to treat patients with a Complete Concentric Collapse (“CCC”). DEKRA attributed the updated Genio® therapeutic indication to the BETTER SLEEP study data presented by the Company, concluding that “the effectiveness results and safety profile for both CCC and non-CCC patients are comparable”. Patients, therefore, do not have to undergo a Drug-Induced Sleep Endoscopy (DISE) procedure to determine if they have CCC at the soft palate level prior to Genio® implantation.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thrilled that the Notified Body has approved the Genio® system as a treatment option for the large population of CCC patients. This will expand our total addressable market by at least 30%.”, said Olivier Taelman, CEO of Nyxoah. “Combined with the Breakthrough Device Designation granted by the U.S. FDA last month, the DEKRA approval provides further validation that our bilateral approach is well suited for both non-CCC and CCC patients. This broader indication will help accelerate our commercial activities in key European markets while we continue to pursue a clinical and regulatory pathway to make Genio® available to both non-CCC and CCC patients in the U.S.”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 Dr. med. Clemens Heiser, MD, PhD – Head of ENT Sleep Laboratory at Klinikum Rechts der Isar – Technical University of Munich and worldwide recognized Key Opinion Leader in sleep surgery commented: “Until now, Obstructive Sleep Apnea (OSA) patients presenting a CCC were not suitable for marketed unilateral hypoglossal nerve stimulation systems and had to be excluded from this technique. With previous research from my group, bilateral stimulation seems to open the soft palate even with CCC. Bilateral neurostimulation solution is a new hope for these patients in need for a safe and efficient therapy. A full-body 1.5T and 3T MRI compatibility combined with CCC indication for the Genio bilateral stimulation solution will change a lot in the future for hypoglossal nerve stimulation therapy.”</w:t>
      </w:r>
    </w:p>
    <w:p>
      <w:pPr>
        <w:spacing w:after="0" w:line="200" w:lineRule="exact"/>
        <w:rPr>
          <w:sz w:val="20"/>
          <w:szCs w:val="20"/>
          <w:color w:val="auto"/>
        </w:rPr>
      </w:pPr>
    </w:p>
    <w:p>
      <w:pPr>
        <w:spacing w:after="0" w:line="208"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586105</wp:posOffset>
            </wp:positionV>
            <wp:extent cx="179133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0833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Nyxoah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Nyxoah is a medical technology company focused on the development and commercialization of innovative solutions to treat Obstructive Sleep Apnea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the successful completion of the BLAST OSA study, the Genio® system received its European CE Mark in 2019. Nyxoah completed two successful IPOs: on Euronext in September 2020 and NASDAQ in July 2021. Following the positive outcomes of the BETTER SLEEP study, Nyxoah received CE-Mark indication approval to treat Complete Concentric Collapse (CCC) patients, currently contraindicated in competitors’ therapy. Additionally, the Company is currently conducting the DREAM IDE pivotal study for FDA and US commercialization approval.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http://www.nyxoah.com/</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Caution </w:t>
      </w:r>
      <w:r>
        <w:rPr>
          <w:rFonts w:ascii="Arial" w:cs="Arial" w:eastAsia="Arial" w:hAnsi="Arial"/>
          <w:sz w:val="17"/>
          <w:szCs w:val="17"/>
          <w:color w:val="auto"/>
        </w:rPr>
        <w:t>– CE marked since 2019. Investigational device in the United States. Limited by U.S. federal law to investigational use in the United States.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Nyxoah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Feffer, VP IR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jeremy.feffer@nyxoah.com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+1 917 749 1494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Gilmartin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Vivian Cervantes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IR@nyxoah.com</w:t>
      </w:r>
    </w:p>
    <w:p>
      <w:pPr>
        <w:spacing w:after="0" w:line="200" w:lineRule="exact"/>
        <w:rPr>
          <w:sz w:val="20"/>
          <w:szCs w:val="20"/>
          <w:color w:val="auto"/>
        </w:rPr>
      </w:pPr>
    </w:p>
    <w:p>
      <w:pPr>
        <w:spacing w:after="0" w:line="22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2021-10-13T15:15:48Z</dcterms:created>
  <dcterms:modified xsi:type="dcterms:W3CDTF">2021-10-13T15:15:48Z</dcterms:modified>
</cp:coreProperties>
</file>