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2" w:space="1" w:color="000000"/>
        </w:pBdr>
        <w:bidi w:val="0"/>
        <w:spacing w:before="0" w:after="0"/>
        <w:ind w:left="0" w:right="0" w:hanging="0"/>
        <w:jc w:val="center"/>
        <w:rPr/>
      </w:pPr>
      <w:bookmarkStart w:id="0" w:name="nyxh-20260630x6k.htm"/>
      <w:bookmarkStart w:id="1" w:name="ksnyxh20260630x6k"/>
      <w:bookmarkEnd w:id="0"/>
      <w:bookmarkEnd w:id="1"/>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0703b5e5_861f_4545_ac12_1c58fd5c86f4"/>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FORM 6-K</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month of August 2026</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 xml:space="preserve">Commission File Number: </w:t>
      </w:r>
      <w:r>
        <w:rPr>
          <w:rFonts w:ascii="Times New Roman;Times;serif" w:hAnsi="Times New Roman;Times;serif"/>
          <w:b/>
          <w:sz w:val="20"/>
        </w:rPr>
        <w:t>001-40552</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NYXOAH SA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 of registrant’s name into English)</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Rue Edouard Belin 12, 1435 Mont-Saint-Guibert, Belgium</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files or will file annual reports under cover of Form 20-F or Form 40-F.</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Form 20-F ☒      Form 40-F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if the registrant is submitting the Form 6-K in paper as permitted by Regulation S-T Rule 101(b)(1):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Note</w:t>
      </w:r>
      <w:r>
        <w:rPr>
          <w:rFonts w:ascii="Times New Roman;Times;serif" w:hAnsi="Times New Roman;Times;serif"/>
          <w:sz w:val="20"/>
        </w:rPr>
        <w:t>: Regulation S-T Rule 101(b)(1) only permits the submission in paper of a Form 6-K if submitted solely to provide an attached annual report to security holders.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if the registrant is submitting the Form 6-K in paper as permitted by Regulation S-T Rule 101(b)(7):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Note</w:t>
      </w:r>
      <w:r>
        <w:rPr>
          <w:rFonts w:ascii="Times New Roman;Times;serif" w:hAnsi="Times New Roman;Times;serif"/>
          <w:sz w:val="20"/>
        </w:rPr>
        <w:t>: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3" w:name="_72b601eb_2ab2_45d9_99ba_7fbb098d7e7f"/>
      <w:bookmarkEnd w:id="3"/>
      <w:r>
        <w:rPr>
          <w:rFonts w:ascii="Times New Roman;Times;serif" w:hAnsi="Times New Roman;Times;serif"/>
          <w:b/>
          <w:sz w:val="20"/>
        </w:rPr>
        <w:t>Nyxoah SA</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5, 2026, Nyxoah SA (the “Company”) issued a press release announcing its financial and operating results for the second quarter and first half of 2026. A copy of the Company’s press release is attached hereto as Exhibit 99.1 and is incorporated herein by reference.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on August 5, 2026, the Company announced its unaudited first half-year results for 2026, which are further described in an H1 2026 report.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The information in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otherwise set forth herein or as shall be expressly set forth by specific reference in such a filing.</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The information in the attached Exhibit 99.2 shall be deemed to be incorporated by reference into the registration statements on Form S-8 (Registration Numbers 333-261233, 333-269410, 333-283103, 333-285960 and 333-294644) and Form F-3 (Registration Number 333-285982) of the Company (including any prospectuses forming a part of such registration statements) and to be a part thereof from the date on which this report is filed, to the extent not superseded by documents or reports subsequently filed or furnished.</w:t>
      </w:r>
    </w:p>
    <w:p>
      <w:pPr>
        <w:pStyle w:val="TextBody"/>
        <w:bidi w:val="0"/>
        <w:spacing w:before="0" w:after="0"/>
        <w:ind w:left="0" w:right="0" w:hanging="0"/>
        <w:jc w:val="both"/>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0"/>
        <w:ind w:left="0" w:right="0" w:hanging="0"/>
        <w:jc w:val="left"/>
        <w:rPr>
          <w:rFonts w:ascii="Times New Roman;Times;serif" w:hAnsi="Times New Roman;Times;serif"/>
          <w:b/>
          <w:sz w:val="20"/>
        </w:rPr>
      </w:pPr>
      <w:bookmarkStart w:id="4" w:name="_398bb53d_cb17_4901_a4b2_cbd1a6e28cd3"/>
      <w:bookmarkEnd w:id="4"/>
      <w:r>
        <w:rPr>
          <w:rFonts w:ascii="Times New Roman;Times;serif" w:hAnsi="Times New Roman;Times;serif"/>
          <w:b/>
          <w:sz w:val="20"/>
        </w:rPr>
        <w:t>Exhibits</w:t>
      </w:r>
    </w:p>
    <w:p>
      <w:pPr>
        <w:pStyle w:val="TextBody"/>
        <w:bidi w:val="0"/>
        <w:spacing w:before="0" w:after="0"/>
        <w:ind w:left="0" w:right="0" w:hanging="0"/>
        <w:jc w:val="left"/>
        <w:rPr/>
      </w:pPr>
      <w:r>
        <w:rPr/>
        <w:t>​</w:t>
      </w:r>
    </w:p>
    <w:tbl>
      <w:tblPr>
        <w:tblW w:w="3888" w:type="dxa"/>
        <w:jc w:val="left"/>
        <w:tblInd w:w="0" w:type="dxa"/>
        <w:tblLayout w:type="fixed"/>
        <w:tblCellMar>
          <w:top w:w="0" w:type="dxa"/>
          <w:left w:w="0" w:type="dxa"/>
          <w:bottom w:w="0" w:type="dxa"/>
          <w:right w:w="0" w:type="dxa"/>
        </w:tblCellMar>
      </w:tblPr>
      <w:tblGrid>
        <w:gridCol w:w="481"/>
        <w:gridCol w:w="346"/>
        <w:gridCol w:w="3061"/>
      </w:tblGrid>
      <w:tr>
        <w:trPr/>
        <w:tc>
          <w:tcPr>
            <w:tcW w:w="4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061" w:type="dxa"/>
            <w:tcBorders/>
            <w:vAlign w:val="center"/>
          </w:tcPr>
          <w:p>
            <w:pPr>
              <w:pStyle w:val="TableContents"/>
              <w:bidi w:val="0"/>
              <w:spacing w:before="0" w:after="0"/>
              <w:ind w:left="0" w:right="0" w:hanging="0"/>
              <w:jc w:val="left"/>
              <w:rPr/>
            </w:pPr>
            <w:r>
              <w:rPr/>
              <w:t>​</w:t>
            </w:r>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46" w:type="dxa"/>
            <w:tcBorders/>
            <w:vAlign w:val="center"/>
          </w:tcPr>
          <w:p>
            <w:pPr>
              <w:pStyle w:val="TableContents"/>
              <w:bidi w:val="0"/>
              <w:spacing w:before="0" w:after="0"/>
              <w:ind w:left="0" w:right="0" w:hanging="0"/>
              <w:jc w:val="both"/>
              <w:rPr/>
            </w:pPr>
            <w:r>
              <w:rPr/>
              <w:t>  ​ ​ ​</w:t>
            </w:r>
          </w:p>
        </w:tc>
        <w:tc>
          <w:tcPr>
            <w:tcW w:w="3061" w:type="dxa"/>
            <w:tcBorders/>
            <w:vAlign w:val="center"/>
          </w:tcPr>
          <w:p>
            <w:pPr>
              <w:pStyle w:val="TableContents"/>
              <w:bidi w:val="0"/>
              <w:spacing w:before="0" w:after="0"/>
              <w:ind w:left="0" w:right="0" w:hanging="0"/>
              <w:jc w:val="both"/>
              <w:rPr/>
            </w:pPr>
            <w:hyperlink w:anchor="nyxh-20260630xex99d1.htm">
              <w:r>
                <w:rPr>
                  <w:rStyle w:val="InternetLink"/>
                  <w:rFonts w:ascii="Times New Roman;Times;serif" w:hAnsi="Times New Roman;Times;serif"/>
                  <w:b w:val="false"/>
                  <w:i w:val="false"/>
                  <w:caps w:val="false"/>
                  <w:smallCaps w:val="false"/>
                  <w:sz w:val="20"/>
                </w:rPr>
                <w:t>Press Release, dated August 5, 2026</w:t>
              </w:r>
            </w:hyperlink>
          </w:p>
        </w:tc>
      </w:tr>
      <w:tr>
        <w:trPr/>
        <w:tc>
          <w:tcPr>
            <w:tcW w:w="4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99.2</w:t>
            </w:r>
          </w:p>
        </w:tc>
        <w:tc>
          <w:tcPr>
            <w:tcW w:w="346" w:type="dxa"/>
            <w:tcBorders/>
            <w:vAlign w:val="center"/>
          </w:tcPr>
          <w:p>
            <w:pPr>
              <w:pStyle w:val="TableContents"/>
              <w:bidi w:val="0"/>
              <w:spacing w:before="0" w:after="0"/>
              <w:ind w:left="0" w:right="0" w:hanging="0"/>
              <w:jc w:val="both"/>
              <w:rPr/>
            </w:pPr>
            <w:r>
              <w:rPr/>
              <w:t>​</w:t>
            </w:r>
          </w:p>
        </w:tc>
        <w:tc>
          <w:tcPr>
            <w:tcW w:w="3061" w:type="dxa"/>
            <w:tcBorders/>
            <w:vAlign w:val="center"/>
          </w:tcPr>
          <w:p>
            <w:pPr>
              <w:pStyle w:val="TableContents"/>
              <w:bidi w:val="0"/>
              <w:spacing w:before="0" w:after="0"/>
              <w:ind w:left="0" w:right="0" w:hanging="0"/>
              <w:jc w:val="both"/>
              <w:rPr/>
            </w:pPr>
            <w:hyperlink w:anchor="nyxh-20260630xex99d2.htm">
              <w:r>
                <w:rPr>
                  <w:rStyle w:val="InternetLink"/>
                  <w:rFonts w:ascii="Times New Roman;Times;serif" w:hAnsi="Times New Roman;Times;serif"/>
                  <w:b w:val="false"/>
                  <w:i w:val="false"/>
                  <w:caps w:val="false"/>
                  <w:smallCaps w:val="false"/>
                  <w:sz w:val="20"/>
                </w:rPr>
                <w:t>H1 Report 2026</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0"/>
        <w:ind w:left="0" w:right="0" w:hanging="0"/>
        <w:jc w:val="center"/>
        <w:rPr>
          <w:rFonts w:ascii="Times New Roman;Times;serif" w:hAnsi="Times New Roman;Times;serif"/>
          <w:b/>
          <w:sz w:val="20"/>
        </w:rPr>
      </w:pPr>
      <w:bookmarkStart w:id="5" w:name="_eb4380e4_f115_45c6_9807_76dcd48d2137"/>
      <w:bookmarkEnd w:id="5"/>
      <w:r>
        <w:rPr>
          <w:rFonts w:ascii="Times New Roman;Times;serif" w:hAnsi="Times New Roman;Times;serif"/>
          <w:b/>
          <w:sz w:val="20"/>
        </w:rPr>
        <w:t>SIGNATURES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4488" w:type="dxa"/>
        <w:jc w:val="left"/>
        <w:tblInd w:w="0" w:type="dxa"/>
        <w:tblLayout w:type="fixed"/>
        <w:tblCellMar>
          <w:top w:w="0" w:type="dxa"/>
          <w:left w:w="0" w:type="dxa"/>
          <w:bottom w:w="0" w:type="dxa"/>
          <w:right w:w="0" w:type="dxa"/>
        </w:tblCellMar>
      </w:tblPr>
      <w:tblGrid>
        <w:gridCol w:w="1846"/>
        <w:gridCol w:w="631"/>
        <w:gridCol w:w="2011"/>
      </w:tblGrid>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pPr>
            <w:r>
              <w:rPr/>
              <w:t>​</w:t>
            </w:r>
          </w:p>
        </w:tc>
        <w:tc>
          <w:tcPr>
            <w:tcW w:w="264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NYXOAH SA</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pPr>
            <w:r>
              <w:rPr/>
              <w:t> </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5,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John Landry</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Landry</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0"/>
        <w:ind w:left="0" w:right="0" w:hanging="0"/>
        <w:jc w:val="left"/>
        <w:rPr/>
      </w:pPr>
      <w:bookmarkStart w:id="6" w:name="nyxh-20260630xex99d1.htm"/>
      <w:bookmarkStart w:id="7" w:name="ksnyxh20260630xex99d1"/>
      <w:bookmarkEnd w:id="6"/>
      <w:bookmarkEnd w:id="7"/>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99.1</w:t>
      </w:r>
    </w:p>
    <w:p>
      <w:pPr>
        <w:pStyle w:val="TextBody"/>
        <w:bidi w:val="0"/>
        <w:spacing w:before="0" w:after="240"/>
        <w:ind w:left="0" w:right="0" w:hanging="0"/>
        <w:jc w:val="center"/>
        <w:rPr/>
      </w:pPr>
      <w:r>
        <w:rPr/>
        <w:drawing>
          <wp:inline distT="0" distB="0" distL="0" distR="0">
            <wp:extent cx="165735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57350" cy="628650"/>
                    </a:xfrm>
                    <a:prstGeom prst="rect">
                      <a:avLst/>
                    </a:prstGeom>
                  </pic:spPr>
                </pic:pic>
              </a:graphicData>
            </a:graphic>
          </wp:inline>
        </w:drawing>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REGULATED INFORMATION</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Nyxoah Reports Second Quarter and First Half 2026 Financial and Operating Results</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U.S. commercial execution driving continued launch momentum resulting in 22% sequential U.S. revenue growth in Q2 2026 over Q1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 xml:space="preserve">Mont-Saint-Guibert, Belgium – August 5, 2026, 10:05pm CET / 4:05pm ET – Nyxoah SA (Euronext Brussels/Nasdaq: NYXH) </w:t>
      </w:r>
      <w:r>
        <w:rPr>
          <w:rFonts w:ascii="Times New Roman;Times;serif" w:hAnsi="Times New Roman;Times;serif"/>
          <w:sz w:val="20"/>
        </w:rPr>
        <w:t>(“Nyxoah” or the “Company”), a medical technology company focused on the development and commercialization of innovative solutions to treat Obstructive Sleep Apnea (OSA), today reported financial and operating results for the second quarter and first half of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and Operating Highlights</w:t>
      </w:r>
    </w:p>
    <w:tbl>
      <w:tblPr>
        <w:tblW w:w="1053" w:type="dxa"/>
        <w:jc w:val="left"/>
        <w:tblInd w:w="0" w:type="dxa"/>
        <w:tblLayout w:type="fixed"/>
        <w:tblCellMar>
          <w:top w:w="0" w:type="dxa"/>
          <w:left w:w="0" w:type="dxa"/>
          <w:bottom w:w="0" w:type="dxa"/>
          <w:right w:w="0" w:type="dxa"/>
        </w:tblCellMar>
      </w:tblPr>
      <w:tblGrid>
        <w:gridCol w:w="23"/>
        <w:gridCol w:w="170"/>
        <w:gridCol w:w="86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Financials</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U.S. net revenue for the second quarter of 2026 was €5.2 million, 22% sequential growth over U.S. net revenue for the first quarter of 2026</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Global net revenue for the second quarter of 2026 was €7.7 million, 21% sequential growth over global net revenue for the first quarter of 2026</w:t>
            </w:r>
          </w:p>
        </w:tc>
      </w:tr>
    </w:tbl>
    <w:tbl>
      <w:tblPr>
        <w:tblW w:w="9498" w:type="dxa"/>
        <w:jc w:val="left"/>
        <w:tblInd w:w="0" w:type="dxa"/>
        <w:tblLayout w:type="fixed"/>
        <w:tblCellMar>
          <w:top w:w="0" w:type="dxa"/>
          <w:left w:w="0" w:type="dxa"/>
          <w:bottom w:w="0" w:type="dxa"/>
          <w:right w:w="0" w:type="dxa"/>
        </w:tblCellMar>
      </w:tblPr>
      <w:tblGrid>
        <w:gridCol w:w="23"/>
        <w:gridCol w:w="125"/>
        <w:gridCol w:w="935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935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Global net revenue for the first half of 2026 was €14.0 million, as compared to €2.4 million for the first half of 2025</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Secured $110 million in aggregate financing during the second quarter of 2026. As of June 30, 2026, cash and cash equivalents and financial assets totaled €97.8 million</w:t>
            </w:r>
          </w:p>
        </w:tc>
      </w:tr>
    </w:tbl>
    <w:tbl>
      <w:tblPr>
        <w:tblW w:w="3108" w:type="dxa"/>
        <w:jc w:val="left"/>
        <w:tblInd w:w="0" w:type="dxa"/>
        <w:tblLayout w:type="fixed"/>
        <w:tblCellMar>
          <w:top w:w="0" w:type="dxa"/>
          <w:left w:w="0" w:type="dxa"/>
          <w:bottom w:w="0" w:type="dxa"/>
          <w:right w:w="0" w:type="dxa"/>
        </w:tblCellMar>
      </w:tblPr>
      <w:tblGrid>
        <w:gridCol w:w="23"/>
        <w:gridCol w:w="170"/>
        <w:gridCol w:w="29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9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Leading U.S. commercial indicators</w:t>
            </w:r>
          </w:p>
        </w:tc>
      </w:tr>
    </w:tbl>
    <w:tbl>
      <w:tblPr>
        <w:tblW w:w="6228" w:type="dxa"/>
        <w:jc w:val="left"/>
        <w:tblInd w:w="0" w:type="dxa"/>
        <w:tblLayout w:type="fixed"/>
        <w:tblCellMar>
          <w:top w:w="0" w:type="dxa"/>
          <w:left w:w="0" w:type="dxa"/>
          <w:bottom w:w="0" w:type="dxa"/>
          <w:right w:w="0" w:type="dxa"/>
        </w:tblCellMar>
      </w:tblPr>
      <w:tblGrid>
        <w:gridCol w:w="23"/>
        <w:gridCol w:w="125"/>
        <w:gridCol w:w="608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60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40 active sales reps, focused on covering 200 high volume HGNS accounts</w:t>
            </w:r>
          </w:p>
        </w:tc>
      </w:tr>
    </w:tbl>
    <w:tbl>
      <w:tblPr>
        <w:tblW w:w="6093" w:type="dxa"/>
        <w:jc w:val="left"/>
        <w:tblInd w:w="0" w:type="dxa"/>
        <w:tblLayout w:type="fixed"/>
        <w:tblCellMar>
          <w:top w:w="0" w:type="dxa"/>
          <w:left w:w="0" w:type="dxa"/>
          <w:bottom w:w="0" w:type="dxa"/>
          <w:right w:w="0" w:type="dxa"/>
        </w:tblCellMar>
      </w:tblPr>
      <w:tblGrid>
        <w:gridCol w:w="23"/>
        <w:gridCol w:w="125"/>
        <w:gridCol w:w="594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59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55 new surgeons trained in Q2, bringing the total to 262 surgeons trained</w:t>
            </w:r>
          </w:p>
        </w:tc>
      </w:tr>
    </w:tbl>
    <w:tbl>
      <w:tblPr>
        <w:tblW w:w="7293" w:type="dxa"/>
        <w:jc w:val="left"/>
        <w:tblInd w:w="0" w:type="dxa"/>
        <w:tblLayout w:type="fixed"/>
        <w:tblCellMar>
          <w:top w:w="0" w:type="dxa"/>
          <w:left w:w="0" w:type="dxa"/>
          <w:bottom w:w="0" w:type="dxa"/>
          <w:right w:w="0" w:type="dxa"/>
        </w:tblCellMar>
      </w:tblPr>
      <w:tblGrid>
        <w:gridCol w:w="23"/>
        <w:gridCol w:w="125"/>
        <w:gridCol w:w="714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714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89 new accounts activated in Q2, bringing the total to 180 active high-volume accounts</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427 patients actively under prior authorization entering Q3 2026, a 77% increase over the number of patients actively under prior authorization entering Q2 2026</w:t>
            </w:r>
          </w:p>
        </w:tc>
      </w:tr>
    </w:tbl>
    <w:tbl>
      <w:tblPr>
        <w:tblW w:w="2643" w:type="dxa"/>
        <w:jc w:val="left"/>
        <w:tblInd w:w="0" w:type="dxa"/>
        <w:tblLayout w:type="fixed"/>
        <w:tblCellMar>
          <w:top w:w="0" w:type="dxa"/>
          <w:left w:w="0" w:type="dxa"/>
          <w:bottom w:w="0" w:type="dxa"/>
          <w:right w:w="0" w:type="dxa"/>
        </w:tblCellMar>
      </w:tblPr>
      <w:tblGrid>
        <w:gridCol w:w="23"/>
        <w:gridCol w:w="170"/>
        <w:gridCol w:w="245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reimbursement landscape</w:t>
            </w:r>
          </w:p>
        </w:tc>
      </w:tr>
    </w:tbl>
    <w:tbl>
      <w:tblPr>
        <w:tblW w:w="5403" w:type="dxa"/>
        <w:jc w:val="left"/>
        <w:tblInd w:w="0" w:type="dxa"/>
        <w:tblLayout w:type="fixed"/>
        <w:tblCellMar>
          <w:top w:w="0" w:type="dxa"/>
          <w:left w:w="0" w:type="dxa"/>
          <w:bottom w:w="0" w:type="dxa"/>
          <w:right w:w="0" w:type="dxa"/>
        </w:tblCellMar>
      </w:tblPr>
      <w:tblGrid>
        <w:gridCol w:w="23"/>
        <w:gridCol w:w="125"/>
        <w:gridCol w:w="5255"/>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525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100% approval rate on reviewed prior authorization submissions</w:t>
            </w:r>
          </w:p>
        </w:tc>
      </w:tr>
    </w:tbl>
    <w:tbl>
      <w:tblPr>
        <w:tblW w:w="7428" w:type="dxa"/>
        <w:jc w:val="left"/>
        <w:tblInd w:w="0" w:type="dxa"/>
        <w:tblLayout w:type="fixed"/>
        <w:tblCellMar>
          <w:top w:w="0" w:type="dxa"/>
          <w:left w:w="0" w:type="dxa"/>
          <w:bottom w:w="0" w:type="dxa"/>
          <w:right w:w="0" w:type="dxa"/>
        </w:tblCellMar>
      </w:tblPr>
      <w:tblGrid>
        <w:gridCol w:w="23"/>
        <w:gridCol w:w="125"/>
        <w:gridCol w:w="728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728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Clarity for Genio, with Medicare C-code 8011 and existing commercial payers CPT codes</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CMS proposed reimbursement increases in both hospital outpatient and ambulatory surgical centers of 12% and 15% respectively for 2027</w:t>
            </w:r>
          </w:p>
        </w:tc>
      </w:tr>
    </w:tbl>
    <w:tbl>
      <w:tblPr>
        <w:tblW w:w="9618" w:type="dxa"/>
        <w:jc w:val="left"/>
        <w:tblInd w:w="0" w:type="dxa"/>
        <w:tblLayout w:type="fixed"/>
        <w:tblCellMar>
          <w:top w:w="0" w:type="dxa"/>
          <w:left w:w="0" w:type="dxa"/>
          <w:bottom w:w="0" w:type="dxa"/>
          <w:right w:w="0" w:type="dxa"/>
        </w:tblCellMar>
      </w:tblPr>
      <w:tblGrid>
        <w:gridCol w:w="23"/>
        <w:gridCol w:w="125"/>
        <w:gridCol w:w="9470"/>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947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Upcoming CPT editorial panel meetings to involve AAO-HNS and industry discussing comprehensive HGNS coding</w:t>
            </w:r>
          </w:p>
        </w:tc>
      </w:tr>
    </w:tbl>
    <w:tbl>
      <w:tblPr>
        <w:tblW w:w="4338" w:type="dxa"/>
        <w:jc w:val="left"/>
        <w:tblInd w:w="0" w:type="dxa"/>
        <w:tblLayout w:type="fixed"/>
        <w:tblCellMar>
          <w:top w:w="0" w:type="dxa"/>
          <w:left w:w="0" w:type="dxa"/>
          <w:bottom w:w="0" w:type="dxa"/>
          <w:right w:w="0" w:type="dxa"/>
        </w:tblCellMar>
      </w:tblPr>
      <w:tblGrid>
        <w:gridCol w:w="23"/>
        <w:gridCol w:w="170"/>
        <w:gridCol w:w="414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45"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Hosted investor day on July</w:t>
            </w:r>
            <w:r>
              <w:rPr>
                <w:caps w:val="false"/>
                <w:smallCaps w:val="false"/>
              </w:rPr>
              <w:t> </w:t>
            </w:r>
            <w:r>
              <w:rPr>
                <w:rFonts w:ascii="Times New Roman;Times;serif" w:hAnsi="Times New Roman;Times;serif"/>
                <w:b w:val="false"/>
                <w:i w:val="false"/>
                <w:caps w:val="false"/>
                <w:smallCaps w:val="false"/>
                <w:sz w:val="20"/>
              </w:rPr>
              <w:t>8</w:t>
            </w:r>
            <w:r>
              <w:rPr>
                <w:caps w:val="false"/>
                <w:smallCaps w:val="false"/>
              </w:rPr>
              <w:t xml:space="preserve"> – </w:t>
            </w:r>
            <w:r>
              <w:rPr>
                <w:rFonts w:ascii="Times New Roman;Times;serif" w:hAnsi="Times New Roman;Times;serif"/>
                <w:b w:val="false"/>
                <w:i w:val="false"/>
                <w:caps w:val="false"/>
                <w:smallCaps w:val="false"/>
                <w:sz w:val="20"/>
              </w:rPr>
              <w:t>Link to the replay</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Featured independent perspectives from ENT and Sleep physicians, who highlighted Genio’s differentiated clinical profile and their intent to expand utilization across their patient populations</w:t>
            </w:r>
          </w:p>
        </w:tc>
      </w:tr>
    </w:tbl>
    <w:tbl>
      <w:tblPr>
        <w:tblW w:w="10205" w:type="dxa"/>
        <w:jc w:val="left"/>
        <w:tblInd w:w="0" w:type="dxa"/>
        <w:tblLayout w:type="fixed"/>
        <w:tblCellMar>
          <w:top w:w="0" w:type="dxa"/>
          <w:left w:w="0" w:type="dxa"/>
          <w:bottom w:w="0" w:type="dxa"/>
          <w:right w:w="0" w:type="dxa"/>
        </w:tblCellMar>
      </w:tblPr>
      <w:tblGrid>
        <w:gridCol w:w="23"/>
        <w:gridCol w:w="125"/>
        <w:gridCol w:w="10057"/>
      </w:tblGrid>
      <w:tr>
        <w:trPr/>
        <w:tc>
          <w:tcPr>
            <w:tcW w:w="2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o</w:t>
            </w:r>
          </w:p>
        </w:tc>
        <w:tc>
          <w:tcPr>
            <w:tcW w:w="10057"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0"/>
              </w:rPr>
              <w:t>Reimbursement expert group confirmed the strength and durability of long-term HGNS coverage, with Genio well positioned across future coding scenarios</w:t>
            </w:r>
          </w:p>
        </w:tc>
      </w:tr>
    </w:tbl>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pPr>
      <w:r>
        <w:rPr/>
        <w:drawing>
          <wp:inline distT="0" distB="0" distL="0" distR="0">
            <wp:extent cx="1657350" cy="628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57350" cy="628650"/>
                    </a:xfrm>
                    <a:prstGeom prst="rect">
                      <a:avLst/>
                    </a:prstGeom>
                  </pic:spPr>
                </pic:pic>
              </a:graphicData>
            </a:graphic>
          </wp:inline>
        </w:drawing>
      </w:r>
    </w:p>
    <w:p>
      <w:pPr>
        <w:pStyle w:val="TextBody"/>
        <w:bidi w:val="0"/>
        <w:spacing w:before="0" w:after="240"/>
        <w:ind w:left="0" w:right="0" w:hanging="0"/>
        <w:jc w:val="both"/>
        <w:rPr/>
      </w:pPr>
      <w:r>
        <w:rPr/>
        <w:t>“</w:t>
      </w:r>
      <w:r>
        <w:rPr>
          <w:rFonts w:ascii="Times New Roman;Times;serif" w:hAnsi="Times New Roman;Times;serif"/>
          <w:sz w:val="20"/>
        </w:rPr>
        <w:t>The doubling of active accounts in Q2 and the strong acceleration of our patient pipeline, demonstrate the growing acceptance and excitement around Genio by physicians and patients,” commented Olivier Taelman, Chief Executive Officer of Nyxoah. “With a dedicated Genio C-code for Medicare patients and another quarter of 100% prior-authorization approval for commercial and WISeR patients, we are confident that the current reimbursement landscape supports our accelerating U.S. revenue growth. The recent closing of our $110 million financing provides the capital needed to further invest in Genio’s U.S. commercial organization in the second half of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for the Three and Six Months Ended June 30, 2026</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Net revenue in the second quarter of 2026 was </w:t>
            </w:r>
            <w:r>
              <w:rPr>
                <w:caps w:val="false"/>
                <w:smallCaps w:val="false"/>
              </w:rPr>
              <w:t>€</w:t>
            </w:r>
            <w:r>
              <w:rPr>
                <w:rFonts w:ascii="Times New Roman;Times;serif" w:hAnsi="Times New Roman;Times;serif"/>
                <w:b w:val="false"/>
                <w:i w:val="false"/>
                <w:caps w:val="false"/>
                <w:smallCaps w:val="false"/>
                <w:sz w:val="20"/>
              </w:rPr>
              <w:t xml:space="preserve">7.7 million, compared to </w:t>
            </w:r>
            <w:r>
              <w:rPr>
                <w:caps w:val="false"/>
                <w:smallCaps w:val="false"/>
              </w:rPr>
              <w:t>€</w:t>
            </w:r>
            <w:r>
              <w:rPr>
                <w:rFonts w:ascii="Times New Roman;Times;serif" w:hAnsi="Times New Roman;Times;serif"/>
                <w:b w:val="false"/>
                <w:i w:val="false"/>
                <w:caps w:val="false"/>
                <w:smallCaps w:val="false"/>
                <w:sz w:val="20"/>
              </w:rPr>
              <w:t xml:space="preserve">1.3 million in the second quarter of 2025. Net revenue in the first half of 2026 was </w:t>
            </w:r>
            <w:r>
              <w:rPr>
                <w:caps w:val="false"/>
                <w:smallCaps w:val="false"/>
              </w:rPr>
              <w:t>€</w:t>
            </w:r>
            <w:r>
              <w:rPr>
                <w:rFonts w:ascii="Times New Roman;Times;serif" w:hAnsi="Times New Roman;Times;serif"/>
                <w:b w:val="false"/>
                <w:i w:val="false"/>
                <w:caps w:val="false"/>
                <w:smallCaps w:val="false"/>
                <w:sz w:val="20"/>
              </w:rPr>
              <w:t xml:space="preserve">14.0 million, as compared to </w:t>
            </w:r>
            <w:r>
              <w:rPr>
                <w:caps w:val="false"/>
                <w:smallCaps w:val="false"/>
              </w:rPr>
              <w:t>€</w:t>
            </w:r>
            <w:r>
              <w:rPr>
                <w:rFonts w:ascii="Times New Roman;Times;serif" w:hAnsi="Times New Roman;Times;serif"/>
                <w:b w:val="false"/>
                <w:i w:val="false"/>
                <w:caps w:val="false"/>
                <w:smallCaps w:val="false"/>
                <w:sz w:val="20"/>
              </w:rPr>
              <w:t>2.4 million for the first half of 2025. The increases in net revenue were primarily driven by the continued expansion of U.S. commercialization activities following FDA approval in August</w:t>
            </w:r>
            <w:r>
              <w:rPr>
                <w:caps w:val="false"/>
                <w:smallCaps w:val="false"/>
              </w:rPr>
              <w:t> </w:t>
            </w:r>
            <w:r>
              <w:rPr>
                <w:rFonts w:ascii="Times New Roman;Times;serif" w:hAnsi="Times New Roman;Times;serif"/>
                <w:b w:val="false"/>
                <w:i w:val="false"/>
                <w:caps w:val="false"/>
                <w:smallCaps w:val="false"/>
                <w:sz w:val="20"/>
              </w:rPr>
              <w:t>2025, as well as growth in international markets.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Cost of Goods Sold</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Cost of goods sold was </w:t>
            </w:r>
            <w:r>
              <w:rPr>
                <w:caps w:val="false"/>
                <w:smallCaps w:val="false"/>
              </w:rPr>
              <w:t>€</w:t>
            </w:r>
            <w:r>
              <w:rPr>
                <w:rFonts w:ascii="Times New Roman;Times;serif" w:hAnsi="Times New Roman;Times;serif"/>
                <w:b w:val="false"/>
                <w:i w:val="false"/>
                <w:caps w:val="false"/>
                <w:smallCaps w:val="false"/>
                <w:sz w:val="20"/>
              </w:rPr>
              <w:t xml:space="preserve">3.1 million for the second quarter of 2026, resulting in gross profit of </w:t>
            </w:r>
            <w:r>
              <w:rPr>
                <w:caps w:val="false"/>
                <w:smallCaps w:val="false"/>
              </w:rPr>
              <w:t>€</w:t>
            </w:r>
            <w:r>
              <w:rPr>
                <w:rFonts w:ascii="Times New Roman;Times;serif" w:hAnsi="Times New Roman;Times;serif"/>
                <w:b w:val="false"/>
                <w:i w:val="false"/>
                <w:caps w:val="false"/>
                <w:smallCaps w:val="false"/>
                <w:sz w:val="20"/>
              </w:rPr>
              <w:t xml:space="preserve">4.6 million and a gross margin of 60% for the second quarter of 2026, compared to cost of goods sold of </w:t>
            </w:r>
            <w:r>
              <w:rPr>
                <w:caps w:val="false"/>
                <w:smallCaps w:val="false"/>
              </w:rPr>
              <w:t>€</w:t>
            </w:r>
            <w:r>
              <w:rPr>
                <w:rFonts w:ascii="Times New Roman;Times;serif" w:hAnsi="Times New Roman;Times;serif"/>
                <w:b w:val="false"/>
                <w:i w:val="false"/>
                <w:caps w:val="false"/>
                <w:smallCaps w:val="false"/>
                <w:sz w:val="20"/>
              </w:rPr>
              <w:t xml:space="preserve">0.5 million in the second quarter of 2025, resulting in gross profit of </w:t>
            </w:r>
            <w:r>
              <w:rPr>
                <w:caps w:val="false"/>
                <w:smallCaps w:val="false"/>
              </w:rPr>
              <w:t>€</w:t>
            </w:r>
            <w:r>
              <w:rPr>
                <w:rFonts w:ascii="Times New Roman;Times;serif" w:hAnsi="Times New Roman;Times;serif"/>
                <w:b w:val="false"/>
                <w:i w:val="false"/>
                <w:caps w:val="false"/>
                <w:smallCaps w:val="false"/>
                <w:sz w:val="20"/>
              </w:rPr>
              <w:t>0.9 million and a gross margin of 63% in the second quarter of 2025. The increase in cost of goods sold was primarily driven by an increase in revenue. The decrease in gross margin was primarily due to a higher mix of U.S. revenue.</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Cost of goods sold in the first half of 2026 was </w:t>
            </w:r>
            <w:r>
              <w:rPr>
                <w:caps w:val="false"/>
                <w:smallCaps w:val="false"/>
              </w:rPr>
              <w:t>€</w:t>
            </w:r>
            <w:r>
              <w:rPr>
                <w:rFonts w:ascii="Times New Roman;Times;serif" w:hAnsi="Times New Roman;Times;serif"/>
                <w:b w:val="false"/>
                <w:i w:val="false"/>
                <w:caps w:val="false"/>
                <w:smallCaps w:val="false"/>
                <w:sz w:val="20"/>
              </w:rPr>
              <w:t xml:space="preserve">5.8 million, as compared to </w:t>
            </w:r>
            <w:r>
              <w:rPr>
                <w:caps w:val="false"/>
                <w:smallCaps w:val="false"/>
              </w:rPr>
              <w:t>€</w:t>
            </w:r>
            <w:r>
              <w:rPr>
                <w:rFonts w:ascii="Times New Roman;Times;serif" w:hAnsi="Times New Roman;Times;serif"/>
                <w:b w:val="false"/>
                <w:i w:val="false"/>
                <w:caps w:val="false"/>
                <w:smallCaps w:val="false"/>
                <w:sz w:val="20"/>
              </w:rPr>
              <w:t xml:space="preserve">0.9 million for the first half of 2025, resulting in gross profit of </w:t>
            </w:r>
            <w:r>
              <w:rPr>
                <w:caps w:val="false"/>
                <w:smallCaps w:val="false"/>
              </w:rPr>
              <w:t>€</w:t>
            </w:r>
            <w:r>
              <w:rPr>
                <w:rFonts w:ascii="Times New Roman;Times;serif" w:hAnsi="Times New Roman;Times;serif"/>
                <w:b w:val="false"/>
                <w:i w:val="false"/>
                <w:caps w:val="false"/>
                <w:smallCaps w:val="false"/>
                <w:sz w:val="20"/>
              </w:rPr>
              <w:t xml:space="preserve">8.2 million and a gross margin of 59% in the first half of 2026, compared to gross profit of </w:t>
            </w:r>
            <w:r>
              <w:rPr>
                <w:caps w:val="false"/>
                <w:smallCaps w:val="false"/>
              </w:rPr>
              <w:t>€</w:t>
            </w:r>
            <w:r>
              <w:rPr>
                <w:rFonts w:ascii="Times New Roman;Times;serif" w:hAnsi="Times New Roman;Times;serif"/>
                <w:b w:val="false"/>
                <w:i w:val="false"/>
                <w:caps w:val="false"/>
                <w:smallCaps w:val="false"/>
                <w:sz w:val="20"/>
              </w:rPr>
              <w:t>1.5 million and a gross margin of 63% in the first half of 2025. The decrease in gross margin was primarily due to production yield issues in the first quarter of 2026 and higher mix of U.S. revenue.</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Research and Development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For the second quarter of 2026, research and development expenses were </w:t>
            </w:r>
            <w:r>
              <w:rPr>
                <w:caps w:val="false"/>
                <w:smallCaps w:val="false"/>
              </w:rPr>
              <w:t>€</w:t>
            </w:r>
            <w:r>
              <w:rPr>
                <w:rFonts w:ascii="Times New Roman;Times;serif" w:hAnsi="Times New Roman;Times;serif"/>
                <w:b w:val="false"/>
                <w:i w:val="false"/>
                <w:caps w:val="false"/>
                <w:smallCaps w:val="false"/>
                <w:sz w:val="20"/>
              </w:rPr>
              <w:t xml:space="preserve">9.5 million, versus </w:t>
            </w:r>
            <w:r>
              <w:rPr>
                <w:caps w:val="false"/>
                <w:smallCaps w:val="false"/>
              </w:rPr>
              <w:t>€</w:t>
            </w:r>
            <w:r>
              <w:rPr>
                <w:rFonts w:ascii="Times New Roman;Times;serif" w:hAnsi="Times New Roman;Times;serif"/>
                <w:b w:val="false"/>
                <w:i w:val="false"/>
                <w:caps w:val="false"/>
                <w:smallCaps w:val="false"/>
                <w:sz w:val="20"/>
              </w:rPr>
              <w:t xml:space="preserve">10.1 million for the second quarter of 2025. For the first half of 2026, research and development expenses were </w:t>
            </w:r>
            <w:r>
              <w:rPr>
                <w:caps w:val="false"/>
                <w:smallCaps w:val="false"/>
              </w:rPr>
              <w:t>€</w:t>
            </w:r>
            <w:r>
              <w:rPr>
                <w:rFonts w:ascii="Times New Roman;Times;serif" w:hAnsi="Times New Roman;Times;serif"/>
                <w:b w:val="false"/>
                <w:i w:val="false"/>
                <w:caps w:val="false"/>
                <w:smallCaps w:val="false"/>
                <w:sz w:val="20"/>
              </w:rPr>
              <w:t xml:space="preserve">18.3 million, versus </w:t>
            </w:r>
            <w:r>
              <w:rPr>
                <w:caps w:val="false"/>
                <w:smallCaps w:val="false"/>
              </w:rPr>
              <w:t>€</w:t>
            </w:r>
            <w:r>
              <w:rPr>
                <w:rFonts w:ascii="Times New Roman;Times;serif" w:hAnsi="Times New Roman;Times;serif"/>
                <w:b w:val="false"/>
                <w:i w:val="false"/>
                <w:caps w:val="false"/>
                <w:smallCaps w:val="false"/>
                <w:sz w:val="20"/>
              </w:rPr>
              <w:t>19.0 million for the first half of 2025. The decreases in research and development expenses were primarily due to a decrease in product development expenses.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Selling, General and Administrative</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For the second quarter of 2026, selling, general and administrative expenses were </w:t>
            </w:r>
            <w:r>
              <w:rPr>
                <w:caps w:val="false"/>
                <w:smallCaps w:val="false"/>
              </w:rPr>
              <w:t>€</w:t>
            </w:r>
            <w:r>
              <w:rPr>
                <w:rFonts w:ascii="Times New Roman;Times;serif" w:hAnsi="Times New Roman;Times;serif"/>
                <w:b w:val="false"/>
                <w:i w:val="false"/>
                <w:caps w:val="false"/>
                <w:smallCaps w:val="false"/>
                <w:sz w:val="20"/>
              </w:rPr>
              <w:t xml:space="preserve">15.6 million, versus </w:t>
            </w:r>
            <w:r>
              <w:rPr>
                <w:caps w:val="false"/>
                <w:smallCaps w:val="false"/>
              </w:rPr>
              <w:t>€</w:t>
            </w:r>
            <w:r>
              <w:rPr>
                <w:rFonts w:ascii="Times New Roman;Times;serif" w:hAnsi="Times New Roman;Times;serif"/>
                <w:b w:val="false"/>
                <w:i w:val="false"/>
                <w:caps w:val="false"/>
                <w:smallCaps w:val="false"/>
                <w:sz w:val="20"/>
              </w:rPr>
              <w:t xml:space="preserve">10.7 million for the second quarter of 2025. For the first half of 2026, selling, general and administrative expenses were </w:t>
            </w:r>
            <w:r>
              <w:rPr>
                <w:caps w:val="false"/>
                <w:smallCaps w:val="false"/>
              </w:rPr>
              <w:t>€</w:t>
            </w:r>
            <w:r>
              <w:rPr>
                <w:rFonts w:ascii="Times New Roman;Times;serif" w:hAnsi="Times New Roman;Times;serif"/>
                <w:b w:val="false"/>
                <w:i w:val="false"/>
                <w:caps w:val="false"/>
                <w:smallCaps w:val="false"/>
                <w:sz w:val="20"/>
              </w:rPr>
              <w:t xml:space="preserve">31.0 million, versus </w:t>
            </w:r>
            <w:r>
              <w:rPr>
                <w:caps w:val="false"/>
                <w:smallCaps w:val="false"/>
              </w:rPr>
              <w:t>€</w:t>
            </w:r>
            <w:r>
              <w:rPr>
                <w:rFonts w:ascii="Times New Roman;Times;serif" w:hAnsi="Times New Roman;Times;serif"/>
                <w:b w:val="false"/>
                <w:i w:val="false"/>
                <w:caps w:val="false"/>
                <w:smallCaps w:val="false"/>
                <w:sz w:val="20"/>
              </w:rPr>
              <w:t>23.1 million for the first half of 2025. The increases in selling, general and administrative expenses were primarily driven by the continued build-out of the Company</w:t>
            </w:r>
            <w:r>
              <w:rPr>
                <w:caps w:val="false"/>
                <w:smallCaps w:val="false"/>
              </w:rPr>
              <w:t>’</w:t>
            </w:r>
            <w:r>
              <w:rPr>
                <w:rFonts w:ascii="Times New Roman;Times;serif" w:hAnsi="Times New Roman;Times;serif"/>
                <w:b w:val="false"/>
                <w:i w:val="false"/>
                <w:caps w:val="false"/>
                <w:smallCaps w:val="false"/>
                <w:sz w:val="20"/>
              </w:rPr>
              <w:t>s U.S. commercial organization, including sales, marketing, and market access functions.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Operating Loss</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 xml:space="preserve">Total operating loss for the second quarter of 2026 was </w:t>
            </w:r>
            <w:r>
              <w:rPr>
                <w:caps w:val="false"/>
                <w:smallCaps w:val="false"/>
              </w:rPr>
              <w:t>€</w:t>
            </w:r>
            <w:r>
              <w:rPr>
                <w:rFonts w:ascii="Times New Roman;Times;serif" w:hAnsi="Times New Roman;Times;serif"/>
                <w:b w:val="false"/>
                <w:i w:val="false"/>
                <w:caps w:val="false"/>
                <w:smallCaps w:val="false"/>
                <w:sz w:val="20"/>
              </w:rPr>
              <w:t xml:space="preserve">20.6 million, versus </w:t>
            </w:r>
            <w:r>
              <w:rPr>
                <w:caps w:val="false"/>
                <w:smallCaps w:val="false"/>
              </w:rPr>
              <w:t>€</w:t>
            </w:r>
            <w:r>
              <w:rPr>
                <w:rFonts w:ascii="Times New Roman;Times;serif" w:hAnsi="Times New Roman;Times;serif"/>
                <w:b w:val="false"/>
                <w:i w:val="false"/>
                <w:caps w:val="false"/>
                <w:smallCaps w:val="false"/>
                <w:sz w:val="20"/>
              </w:rPr>
              <w:t xml:space="preserve">19.9 million in the second quarter of 2025. Total operating loss for the first half of 2026 was </w:t>
            </w:r>
            <w:r>
              <w:rPr>
                <w:caps w:val="false"/>
                <w:smallCaps w:val="false"/>
              </w:rPr>
              <w:t>€</w:t>
            </w:r>
            <w:r>
              <w:rPr>
                <w:rFonts w:ascii="Times New Roman;Times;serif" w:hAnsi="Times New Roman;Times;serif"/>
                <w:b w:val="false"/>
                <w:i w:val="false"/>
                <w:caps w:val="false"/>
                <w:smallCaps w:val="false"/>
                <w:sz w:val="20"/>
              </w:rPr>
              <w:t xml:space="preserve">41.1 million, versus </w:t>
            </w:r>
            <w:r>
              <w:rPr>
                <w:caps w:val="false"/>
                <w:smallCaps w:val="false"/>
              </w:rPr>
              <w:t>€</w:t>
            </w:r>
            <w:r>
              <w:rPr>
                <w:rFonts w:ascii="Times New Roman;Times;serif" w:hAnsi="Times New Roman;Times;serif"/>
                <w:b w:val="false"/>
                <w:i w:val="false"/>
                <w:caps w:val="false"/>
                <w:smallCaps w:val="false"/>
                <w:sz w:val="20"/>
              </w:rPr>
              <w:t>40.5 million in the first half of 2025. The increases in operating loss reflect increased net revenue offset by increased investments to support the build-out of the Company</w:t>
            </w:r>
            <w:r>
              <w:rPr>
                <w:caps w:val="false"/>
                <w:smallCaps w:val="false"/>
              </w:rPr>
              <w:t>’</w:t>
            </w:r>
            <w:r>
              <w:rPr>
                <w:rFonts w:ascii="Times New Roman;Times;serif" w:hAnsi="Times New Roman;Times;serif"/>
                <w:b w:val="false"/>
                <w:i w:val="false"/>
                <w:caps w:val="false"/>
                <w:smallCaps w:val="false"/>
                <w:sz w:val="20"/>
              </w:rPr>
              <w:t>s U.S. commercial organization.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Cash Position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and financial assets totaled €97.8 million at June 30, 2026, compared to €48.0 million at December 31, 2025.</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pPr>
      <w:r>
        <w:rPr/>
        <w:drawing>
          <wp:inline distT="0" distB="0" distL="0" distR="0">
            <wp:extent cx="1657350" cy="628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57350" cy="62865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Guidance for the full year 2026</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222222"/>
              </w:rPr>
            </w:pPr>
            <w:r>
              <w:rPr>
                <w:color w:val="222222"/>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22222"/>
                <w:sz w:val="20"/>
              </w:rPr>
              <w:t>The Company continues to expect worldwide net revenue for the full</w:t>
            </w:r>
            <w:r>
              <w:rPr>
                <w:caps w:val="false"/>
                <w:smallCaps w:val="false"/>
                <w:color w:val="222222"/>
              </w:rPr>
              <w:t> </w:t>
            </w:r>
            <w:r>
              <w:rPr>
                <w:rFonts w:ascii="Times New Roman;Times;serif" w:hAnsi="Times New Roman;Times;serif"/>
                <w:b w:val="false"/>
                <w:i w:val="false"/>
                <w:caps w:val="false"/>
                <w:smallCaps w:val="false"/>
                <w:color w:val="222222"/>
                <w:sz w:val="20"/>
              </w:rPr>
              <w:t xml:space="preserve">year 2026 to be in the range of </w:t>
            </w:r>
            <w:r>
              <w:rPr>
                <w:caps w:val="false"/>
                <w:smallCaps w:val="false"/>
                <w:color w:val="222222"/>
              </w:rPr>
              <w:t>€</w:t>
            </w:r>
            <w:r>
              <w:rPr>
                <w:rFonts w:ascii="Times New Roman;Times;serif" w:hAnsi="Times New Roman;Times;serif"/>
                <w:b w:val="false"/>
                <w:i w:val="false"/>
                <w:caps w:val="false"/>
                <w:smallCaps w:val="false"/>
                <w:color w:val="222222"/>
                <w:sz w:val="20"/>
              </w:rPr>
              <w:t xml:space="preserve">36 million to </w:t>
            </w:r>
            <w:r>
              <w:rPr>
                <w:caps w:val="false"/>
                <w:smallCaps w:val="false"/>
                <w:color w:val="222222"/>
              </w:rPr>
              <w:t>€</w:t>
            </w:r>
            <w:r>
              <w:rPr>
                <w:rFonts w:ascii="Times New Roman;Times;serif" w:hAnsi="Times New Roman;Times;serif"/>
                <w:b w:val="false"/>
                <w:i w:val="false"/>
                <w:caps w:val="false"/>
                <w:smallCaps w:val="false"/>
                <w:color w:val="222222"/>
                <w:sz w:val="20"/>
              </w:rPr>
              <w:t>40 million.</w:t>
            </w:r>
          </w:p>
        </w:tc>
      </w:tr>
    </w:tbl>
    <w:tbl>
      <w:tblPr>
        <w:tblW w:w="8613" w:type="dxa"/>
        <w:jc w:val="left"/>
        <w:tblInd w:w="0" w:type="dxa"/>
        <w:tblLayout w:type="fixed"/>
        <w:tblCellMar>
          <w:top w:w="0" w:type="dxa"/>
          <w:left w:w="0" w:type="dxa"/>
          <w:bottom w:w="0" w:type="dxa"/>
          <w:right w:w="0" w:type="dxa"/>
        </w:tblCellMar>
      </w:tblPr>
      <w:tblGrid>
        <w:gridCol w:w="23"/>
        <w:gridCol w:w="170"/>
        <w:gridCol w:w="842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222222"/>
              </w:rPr>
            </w:pPr>
            <w:r>
              <w:rPr>
                <w:color w:val="222222"/>
              </w:rPr>
              <w:t>●</w:t>
            </w:r>
          </w:p>
        </w:tc>
        <w:tc>
          <w:tcPr>
            <w:tcW w:w="8420"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22222"/>
                <w:sz w:val="20"/>
              </w:rPr>
              <w:t>The Company continues to expect gross margin for the full</w:t>
            </w:r>
            <w:r>
              <w:rPr>
                <w:caps w:val="false"/>
                <w:smallCaps w:val="false"/>
                <w:color w:val="222222"/>
              </w:rPr>
              <w:t> </w:t>
            </w:r>
            <w:r>
              <w:rPr>
                <w:rFonts w:ascii="Times New Roman;Times;serif" w:hAnsi="Times New Roman;Times;serif"/>
                <w:b w:val="false"/>
                <w:i w:val="false"/>
                <w:caps w:val="false"/>
                <w:smallCaps w:val="false"/>
                <w:color w:val="222222"/>
                <w:sz w:val="20"/>
              </w:rPr>
              <w:t>year 2026 to be in the range of 60% to 62%.</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222222"/>
              </w:rPr>
            </w:pPr>
            <w:r>
              <w:rPr>
                <w:color w:val="222222"/>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22222"/>
                <w:sz w:val="20"/>
              </w:rPr>
              <w:t>The Company now expects total operating expenses for the full</w:t>
            </w:r>
            <w:r>
              <w:rPr>
                <w:caps w:val="false"/>
                <w:smallCaps w:val="false"/>
                <w:color w:val="222222"/>
              </w:rPr>
              <w:t> </w:t>
            </w:r>
            <w:r>
              <w:rPr>
                <w:rFonts w:ascii="Times New Roman;Times;serif" w:hAnsi="Times New Roman;Times;serif"/>
                <w:b w:val="false"/>
                <w:i w:val="false"/>
                <w:caps w:val="false"/>
                <w:smallCaps w:val="false"/>
                <w:color w:val="222222"/>
                <w:sz w:val="20"/>
              </w:rPr>
              <w:t xml:space="preserve">year 2026 to be in the range of </w:t>
            </w:r>
            <w:r>
              <w:rPr>
                <w:caps w:val="false"/>
                <w:smallCaps w:val="false"/>
                <w:color w:val="222222"/>
              </w:rPr>
              <w:t>€</w:t>
            </w:r>
            <w:r>
              <w:rPr>
                <w:rFonts w:ascii="Times New Roman;Times;serif" w:hAnsi="Times New Roman;Times;serif"/>
                <w:b w:val="false"/>
                <w:i w:val="false"/>
                <w:caps w:val="false"/>
                <w:smallCaps w:val="false"/>
                <w:color w:val="222222"/>
                <w:sz w:val="20"/>
              </w:rPr>
              <w:t xml:space="preserve">99 million to </w:t>
            </w:r>
            <w:r>
              <w:rPr>
                <w:caps w:val="false"/>
                <w:smallCaps w:val="false"/>
                <w:color w:val="222222"/>
              </w:rPr>
              <w:t>€</w:t>
            </w:r>
            <w:r>
              <w:rPr>
                <w:rFonts w:ascii="Times New Roman;Times;serif" w:hAnsi="Times New Roman;Times;serif"/>
                <w:b w:val="false"/>
                <w:i w:val="false"/>
                <w:caps w:val="false"/>
                <w:smallCaps w:val="false"/>
                <w:color w:val="222222"/>
                <w:sz w:val="20"/>
              </w:rPr>
              <w:t xml:space="preserve">102 million. This increase of approximately </w:t>
            </w:r>
            <w:r>
              <w:rPr>
                <w:caps w:val="false"/>
                <w:smallCaps w:val="false"/>
                <w:color w:val="222222"/>
              </w:rPr>
              <w:t>€</w:t>
            </w:r>
            <w:r>
              <w:rPr>
                <w:rFonts w:ascii="Times New Roman;Times;serif" w:hAnsi="Times New Roman;Times;serif"/>
                <w:b w:val="false"/>
                <w:i w:val="false"/>
                <w:caps w:val="false"/>
                <w:smallCaps w:val="false"/>
                <w:color w:val="222222"/>
                <w:sz w:val="20"/>
              </w:rPr>
              <w:t xml:space="preserve">1 million is due to the one-time share-based compensation expense of approximately </w:t>
            </w:r>
            <w:r>
              <w:rPr>
                <w:caps w:val="false"/>
                <w:smallCaps w:val="false"/>
                <w:color w:val="222222"/>
              </w:rPr>
              <w:t>€</w:t>
            </w:r>
            <w:r>
              <w:rPr>
                <w:rFonts w:ascii="Times New Roman;Times;serif" w:hAnsi="Times New Roman;Times;serif"/>
                <w:b w:val="false"/>
                <w:i w:val="false"/>
                <w:caps w:val="false"/>
                <w:smallCaps w:val="false"/>
                <w:color w:val="222222"/>
                <w:sz w:val="20"/>
              </w:rPr>
              <w:t>0.9 million associated with the repricing of employee equity incentive arrangements recorded in the second quarter.</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olor w:val="222222"/>
              </w:rPr>
            </w:pPr>
            <w:r>
              <w:rPr>
                <w:color w:val="222222"/>
              </w:rPr>
              <w:t>●</w:t>
            </w:r>
          </w:p>
        </w:tc>
        <w:tc>
          <w:tcPr>
            <w:tcW w:w="10012"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color w:val="222222"/>
                <w:sz w:val="20"/>
              </w:rPr>
              <w:t>The Company continues to expect non-GAAP cash operating expenses for the full</w:t>
            </w:r>
            <w:r>
              <w:rPr>
                <w:caps w:val="false"/>
                <w:smallCaps w:val="false"/>
                <w:color w:val="222222"/>
              </w:rPr>
              <w:t> </w:t>
            </w:r>
            <w:r>
              <w:rPr>
                <w:rFonts w:ascii="Times New Roman;Times;serif" w:hAnsi="Times New Roman;Times;serif"/>
                <w:b w:val="false"/>
                <w:i w:val="false"/>
                <w:caps w:val="false"/>
                <w:smallCaps w:val="false"/>
                <w:color w:val="222222"/>
                <w:sz w:val="20"/>
              </w:rPr>
              <w:t xml:space="preserve">year 2026 to be in the range of </w:t>
            </w:r>
            <w:r>
              <w:rPr>
                <w:caps w:val="false"/>
                <w:smallCaps w:val="false"/>
                <w:color w:val="222222"/>
              </w:rPr>
              <w:t>€</w:t>
            </w:r>
            <w:r>
              <w:rPr>
                <w:rFonts w:ascii="Times New Roman;Times;serif" w:hAnsi="Times New Roman;Times;serif"/>
                <w:b w:val="false"/>
                <w:i w:val="false"/>
                <w:caps w:val="false"/>
                <w:smallCaps w:val="false"/>
                <w:color w:val="222222"/>
                <w:sz w:val="20"/>
              </w:rPr>
              <w:t xml:space="preserve">88 million to </w:t>
            </w:r>
            <w:r>
              <w:rPr>
                <w:caps w:val="false"/>
                <w:smallCaps w:val="false"/>
                <w:color w:val="222222"/>
              </w:rPr>
              <w:t>€</w:t>
            </w:r>
            <w:r>
              <w:rPr>
                <w:rFonts w:ascii="Times New Roman;Times;serif" w:hAnsi="Times New Roman;Times;serif"/>
                <w:b w:val="false"/>
                <w:i w:val="false"/>
                <w:caps w:val="false"/>
                <w:smallCaps w:val="false"/>
                <w:color w:val="222222"/>
                <w:sz w:val="20"/>
              </w:rPr>
              <w:t>90 million. Non-GAAP cash operating expenses reflect expected total operating expenses less non-cash expenses such as depreciation, amortization, and share-based compensation.</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Conference call and webcast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management will host a conference call to discuss financial results on Wednesday, August 5, 2026, beginning at 10:30pm CET / 4:30pm 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webcast of the call will be accessible via the Investor Relations page of the Nyxoah website or through this link: Nyxoah’s Q2 Earnings Call Webcast. For those not planning to ask a question to management, the Company recommends listening via the webcast.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you plan to ask a question, please use the following link: Nyxoah’s Q2 2026 Earnings Call</w:t>
      </w:r>
      <w:r>
        <w:rPr>
          <w:rFonts w:ascii="Times New Roman;Times;serif" w:hAnsi="Times New Roman;Times;serif"/>
          <w:color w:val="0070C0"/>
          <w:sz w:val="20"/>
        </w:rPr>
        <w:t xml:space="preserve">. </w:t>
      </w:r>
      <w:r>
        <w:rPr>
          <w:rFonts w:ascii="Times New Roman;Times;serif" w:hAnsi="Times New Roman;Times;serif"/>
          <w:sz w:val="20"/>
        </w:rPr>
        <w:t>After registering, an email will be sent, including dial-in details and a unique conference call access code required to join the live call. To ensure you are connected prior to the beginning of the call, the Company suggests registering a minimum of 10 minutes before the start of the call.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archived webcast will be available for replay shortly after the close of the call.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press release includes non-GAAP (Generally Accepted Accounting Principles) financial measures, including non-GAAP cash operating expenses. Non-GAAP cash operating expenses are calculated by excluding from GAAP certain operating expense items, including depreciation, amortization, capitalized research and development expenses, impairment losses on intangible assets, and share-based compensation. These non-GAAP financial measures are presented because the Company believes they are useful indicators of its operating performance. Management uses these non-GAAP financial measures as measures of the Company’s operating performance and for planning purposes, including the preparation of the Company’s annual operating budget and financial projections. The Company believes these measures are useful to investors as supplemental information because they are frequently used by analysts, investors and other interested parties to evaluate companies in its industry. These non-GAAP financial measures should not be considered alternatives to, or superior to, any other performance measure derived in accordance with GAAP. They should not be construed to imply that the Company’s future results will be unaffected by unusual or non-recurring items. The Company’s definitions of non-GAAP cash operating expenses are not necessarily comparable to other similarly titled captions of other companies due to different methods of calculation.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About Nyxoah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Nyxoah is a medical technology company focused on the development and commercialization of innovative solutions to treat OSA. Nyxoah’s lead solution is the Genio system, a patient-centered, leadless and battery-free hypoglossal neurostimulation therapy for OSA, the world’s most common sleep disordered breathing condition that is associated with increased mortality risk and cardiovascular comorbidities. Nyxoah is driven by the vision that OSA patients should enjoy restful nights and feel enabled to live their life to its fullest.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Following the successful completion of the BLAST OSA study, the Genio system received its European CE Mark in 2019. Nyxoah completed two successful IPOs: on Euronext Brussels in September 2020 and NASDAQ in July 2021. Following the positive outcomes of the BETTER SLEEP study, Nyxoah received CE mark approval for the expansion of its therapeutic indications to Complete </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pPr>
      <w:r>
        <w:rPr/>
        <w:drawing>
          <wp:inline distT="0" distB="0" distL="0" distR="0">
            <wp:extent cx="1657350" cy="628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57350" cy="628650"/>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Concentric Collapse (CCC) patients, currently contraindicated in competitors’ therapy. Additionally, the Company announced positive outcomes from the DREAM IDE pivotal study in 2024 and receipt of approval from the FDA in August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more information, please visit http://www.nyxoah.com.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Caution – CE marked since 2019. FDA approved in August 2025 as prescription-only device.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statements, beliefs and opinions in this press release are forward-looking, which reflect the Company’s or, as appropriate, the Company directors’ or management’s current expectations regarding the Genio system; the potential advantages of the Genio system; Nyxoah’s goals with respect to the potential use of the Genio system; the Company’s commercialization strategy and entrance to the U.S. market; the Company’s results of operations, financial condition, liquidity, performance, prospects, growth, future revenue, future operating expenses, future gross margins and strategies. By their nature, forward-looking statements involve a number of risks, uncertainties, assumptions and other factors that could cause actual results or events to differ materially from those expressed or implied by the forward-looking statements. These risks, uncertainties, assumptions and factors could adversely affect the outcome and financial effects of the plans and events described herein. These risks and uncertainties include, but are not limited to, the risks and uncertainties set forth in the “Risk Factors” section of the Company’s Annual Report on Form 20-F for the year ended December 31, 2025, filed with the Securities and Exchange Commission (“SEC”) on March 26, 2026 and subsequent reports that the Company files with the SEC. A multitude of factors including, but not limited to, changes in demand, competition and technology, can cause actual events, performance or results to differ significantly from any anticipated development. Forward-looking statements contained in this press release regarding past trends or activities are not guarantees of future performance and should not be taken as a representation that such trends or activities will continue in the future. In addition, even if actual results or developments are consistent with the forward-looking statements contained in this press release, those results or developments may not be indicative of results or developments in future periods. No representations and warranties are made as to the accuracy or fairness of such forward-looking statements. As a result, the Company expressly disclaims any obligation or undertaking to release any updates or revisions to any forward-looking statements in this press release as a result of any change in expectations or any change in events, conditions, assumptions or circumstances on which these forward- looking statements are based, except if specifically required to do so by law or regulation. Neither the Company nor its advisers or representatives nor any of its subsidiary undertakings or any such person’s officers or employees guarantees that the assumptions underlying such forward-looking statements are free from errors nor does either accept any responsibility for the future accuracy of the forward-looking statements contained in this press release or the actual occurrence of the forecasted developments. You should not place undue reliance on forward-looking statements, which speak only as of the date of this press release.</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pPr>
      <w:r>
        <w:rPr/>
        <w:drawing>
          <wp:inline distT="0" distB="0" distL="0" distR="0">
            <wp:extent cx="1657350" cy="628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57350" cy="628650"/>
                    </a:xfrm>
                    <a:prstGeom prst="rect">
                      <a:avLst/>
                    </a:prstGeom>
                  </pic:spPr>
                </pic:pic>
              </a:graphicData>
            </a:graphic>
          </wp:inline>
        </w:drawing>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CONSOLIDATED STATEMENTS OF LOSS AND OTHER COMPREHENSIVE LOSS (unaudited) (in thousands)</w:t>
      </w:r>
    </w:p>
    <w:tbl>
      <w:tblPr>
        <w:tblW w:w="10205" w:type="dxa"/>
        <w:jc w:val="center"/>
        <w:tblInd w:w="0" w:type="dxa"/>
        <w:tblLayout w:type="fixed"/>
        <w:tblCellMar>
          <w:top w:w="0" w:type="dxa"/>
          <w:left w:w="0" w:type="dxa"/>
          <w:bottom w:w="0" w:type="dxa"/>
          <w:right w:w="0" w:type="dxa"/>
        </w:tblCellMar>
      </w:tblPr>
      <w:tblGrid>
        <w:gridCol w:w="4754"/>
        <w:gridCol w:w="346"/>
        <w:gridCol w:w="226"/>
        <w:gridCol w:w="779"/>
        <w:gridCol w:w="346"/>
        <w:gridCol w:w="226"/>
        <w:gridCol w:w="779"/>
        <w:gridCol w:w="346"/>
        <w:gridCol w:w="226"/>
        <w:gridCol w:w="779"/>
        <w:gridCol w:w="346"/>
        <w:gridCol w:w="226"/>
        <w:gridCol w:w="826"/>
      </w:tblGrid>
      <w:tr>
        <w:trPr/>
        <w:tc>
          <w:tcPr>
            <w:tcW w:w="47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018790" cy="175260"/>
                      <wp:effectExtent l="0" t="0" r="0" b="0"/>
                      <wp:wrapNone/>
                      <wp:docPr id="6" name="Frame1"/>
                      <a:graphic xmlns:a="http://schemas.openxmlformats.org/drawingml/2006/main">
                        <a:graphicData uri="http://schemas.microsoft.com/office/word/2010/wordprocessingShape">
                          <wps:wsp>
                            <wps:cNvSpPr txBox="1"/>
                            <wps:spPr>
                              <a:xfrm>
                                <a:off x="0" y="0"/>
                                <a:ext cx="3018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9710" cy="175260"/>
                      <wp:effectExtent l="0" t="0" r="0" b="0"/>
                      <wp:wrapNone/>
                      <wp:docPr id="7"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143510" cy="175260"/>
                      <wp:effectExtent l="0" t="0" r="0" b="0"/>
                      <wp:wrapNone/>
                      <wp:docPr id="8" name="Frame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494665" cy="175260"/>
                      <wp:effectExtent l="0" t="0" r="0" b="0"/>
                      <wp:wrapNone/>
                      <wp:docPr id="9" name="Frame4"/>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19710" cy="175260"/>
                      <wp:effectExtent l="0" t="0" r="0" b="0"/>
                      <wp:wrapNone/>
                      <wp:docPr id="10"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43510" cy="175260"/>
                      <wp:effectExtent l="0" t="0" r="0" b="0"/>
                      <wp:wrapNone/>
                      <wp:docPr id="11" name="Frame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94665" cy="175260"/>
                      <wp:effectExtent l="0" t="0" r="0" b="0"/>
                      <wp:wrapNone/>
                      <wp:docPr id="12" name="Frame7"/>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13" name="Frame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43510" cy="175260"/>
                      <wp:effectExtent l="0" t="0" r="0" b="0"/>
                      <wp:wrapNone/>
                      <wp:docPr id="14" name="Frame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494665" cy="175260"/>
                      <wp:effectExtent l="0" t="0" r="0" b="0"/>
                      <wp:wrapNone/>
                      <wp:docPr id="15" name="Frame10"/>
                      <a:graphic xmlns:a="http://schemas.openxmlformats.org/drawingml/2006/main">
                        <a:graphicData uri="http://schemas.microsoft.com/office/word/2010/wordprocessingShape">
                          <wps:wsp>
                            <wps:cNvSpPr txBox="1"/>
                            <wps:spPr>
                              <a:xfrm>
                                <a:off x="0" y="0"/>
                                <a:ext cx="494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6" name="Frame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43510" cy="175260"/>
                      <wp:effectExtent l="0" t="0" r="0" b="0"/>
                      <wp:wrapNone/>
                      <wp:docPr id="17" name="Frame1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24510" cy="175260"/>
                      <wp:effectExtent l="0" t="0" r="0" b="0"/>
                      <wp:wrapNone/>
                      <wp:docPr id="18" name="Frame1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6"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40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4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356"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240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754"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7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w:t>
            </w:r>
          </w:p>
        </w:tc>
      </w:tr>
      <w:tr>
        <w:trPr/>
        <w:tc>
          <w:tcPr>
            <w:tcW w:w="475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(5,826)</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r>
      <w:tr>
        <w:trPr/>
        <w:tc>
          <w:tcPr>
            <w:tcW w:w="475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4,584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8,221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1,508</w:t>
            </w:r>
          </w:p>
        </w:tc>
      </w:tr>
      <w:tr>
        <w:trPr/>
        <w:tc>
          <w:tcPr>
            <w:tcW w:w="475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(9,543)</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(19,048)</w:t>
            </w:r>
          </w:p>
        </w:tc>
      </w:tr>
      <w:tr>
        <w:trPr/>
        <w:tc>
          <w:tcPr>
            <w:tcW w:w="47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(23,063)</w:t>
            </w:r>
          </w:p>
        </w:tc>
      </w:tr>
      <w:tr>
        <w:trPr/>
        <w:tc>
          <w:tcPr>
            <w:tcW w:w="475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income/(expense)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475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 for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(20,588)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(19,850)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(41,089)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(40,488)</w:t>
            </w:r>
          </w:p>
        </w:tc>
      </w:tr>
      <w:tr>
        <w:trPr/>
        <w:tc>
          <w:tcPr>
            <w:tcW w:w="475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5,480</w:t>
            </w:r>
          </w:p>
        </w:tc>
      </w:tr>
      <w:tr>
        <w:trPr/>
        <w:tc>
          <w:tcPr>
            <w:tcW w:w="47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expense</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(7,579)</w:t>
            </w:r>
          </w:p>
        </w:tc>
      </w:tr>
      <w:tr>
        <w:trPr/>
        <w:tc>
          <w:tcPr>
            <w:tcW w:w="475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for the period before taxes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(32,487)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(20,329)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(48,042)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(42,587)</w:t>
            </w:r>
          </w:p>
        </w:tc>
      </w:tr>
      <w:tr>
        <w:trPr/>
        <w:tc>
          <w:tcPr>
            <w:tcW w:w="47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475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for the period</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(32,964)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(20,607)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(48,910)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(42,991)</w:t>
            </w:r>
          </w:p>
        </w:tc>
      </w:tr>
      <w:tr>
        <w:trPr/>
        <w:tc>
          <w:tcPr>
            <w:tcW w:w="4754"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75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attributable to equity holders</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(32,964)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(20,607)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(48,910)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(42,991)</w:t>
            </w:r>
          </w:p>
        </w:tc>
      </w:tr>
      <w:tr>
        <w:trPr/>
        <w:tc>
          <w:tcPr>
            <w:tcW w:w="475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r>
      <w:tr>
        <w:trPr/>
        <w:tc>
          <w:tcPr>
            <w:tcW w:w="475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Items that may be subsequently reclassified to profit or loss (net of tax)</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47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 differences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4754"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loss for the year, net of tax</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(32,654)</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(20,375)</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(48,909)</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(42,761)</w:t>
            </w:r>
          </w:p>
        </w:tc>
      </w:tr>
      <w:tr>
        <w:trPr/>
        <w:tc>
          <w:tcPr>
            <w:tcW w:w="475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attributable to equity holders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(32,654)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(20,375)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(48,909)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(42,761)</w:t>
            </w:r>
          </w:p>
        </w:tc>
      </w:tr>
      <w:tr>
        <w:trPr/>
        <w:tc>
          <w:tcPr>
            <w:tcW w:w="4754"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7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pPr>
            <w:r>
              <w:rPr/>
              <w:t>​</w:t>
            </w:r>
          </w:p>
        </w:tc>
      </w:tr>
      <w:tr>
        <w:trPr/>
        <w:tc>
          <w:tcPr>
            <w:tcW w:w="475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Loss Per Share (in EUR)</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475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Loss Per Share (in EUR)</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pPr>
      <w:r>
        <w:rPr/>
        <w:drawing>
          <wp:inline distT="0" distB="0" distL="0" distR="0">
            <wp:extent cx="1657350" cy="62865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1657350" cy="628650"/>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 condensed consolidated interim financial information as at and for the six</w:t>
      </w:r>
      <w:r>
        <w:rPr>
          <w:rFonts w:ascii="Times New Roman;Times;serif" w:hAnsi="Times New Roman;Times;serif"/>
          <w:sz w:val="20"/>
        </w:rPr>
        <w:t> </w:t>
      </w:r>
      <w:r>
        <w:rPr>
          <w:rFonts w:ascii="Times New Roman;Times;serif" w:hAnsi="Times New Roman;Times;serif"/>
          <w:b/>
          <w:sz w:val="20"/>
        </w:rPr>
        <w:t>months ended June</w:t>
      </w:r>
      <w:r>
        <w:rPr>
          <w:rFonts w:ascii="Times New Roman;Times;serif" w:hAnsi="Times New Roman;Times;serif"/>
          <w:sz w:val="20"/>
        </w:rPr>
        <w:t> </w:t>
      </w:r>
      <w:r>
        <w:rPr>
          <w:rFonts w:ascii="Times New Roman;Times;serif" w:hAnsi="Times New Roman;Times;serif"/>
          <w:b/>
          <w:sz w:val="20"/>
        </w:rPr>
        <w:t>30, 2026</w:t>
      </w:r>
      <w:r>
        <w:rPr>
          <w:rFonts w:ascii="Times New Roman;Times;serif" w:hAnsi="Times New Roman;Times;serif"/>
          <w:sz w:val="20"/>
        </w:rPr>
        <w:t xml:space="preserve"> – </w:t>
      </w:r>
      <w:r>
        <w:rPr>
          <w:rFonts w:ascii="Times New Roman;Times;serif" w:hAnsi="Times New Roman;Times;serif"/>
          <w:b/>
          <w:sz w:val="20"/>
        </w:rPr>
        <w:t>Interim consolidated statement of financial position (unaudited) (in thousands)</w:t>
      </w:r>
    </w:p>
    <w:p>
      <w:pPr>
        <w:pStyle w:val="TextBody"/>
        <w:bidi w:val="0"/>
        <w:spacing w:before="0" w:after="240"/>
        <w:ind w:left="0" w:right="0" w:hanging="0"/>
        <w:jc w:val="both"/>
        <w:rPr/>
      </w:pPr>
      <w:r>
        <w:rPr/>
        <w:t>​</w:t>
      </w:r>
    </w:p>
    <w:tbl>
      <w:tblPr>
        <w:tblW w:w="6547" w:type="dxa"/>
        <w:jc w:val="center"/>
        <w:tblInd w:w="0" w:type="dxa"/>
        <w:tblLayout w:type="fixed"/>
        <w:tblCellMar>
          <w:top w:w="0" w:type="dxa"/>
          <w:left w:w="0" w:type="dxa"/>
          <w:bottom w:w="0" w:type="dxa"/>
          <w:right w:w="0" w:type="dxa"/>
        </w:tblCellMar>
      </w:tblPr>
      <w:tblGrid>
        <w:gridCol w:w="3556"/>
        <w:gridCol w:w="346"/>
        <w:gridCol w:w="226"/>
        <w:gridCol w:w="901"/>
        <w:gridCol w:w="346"/>
        <w:gridCol w:w="226"/>
        <w:gridCol w:w="946"/>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258060" cy="175260"/>
                      <wp:effectExtent l="0" t="0" r="0" b="0"/>
                      <wp:wrapNone/>
                      <wp:docPr id="20" name="Frame14"/>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21" name="Frame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43510" cy="175260"/>
                      <wp:effectExtent l="0" t="0" r="0" b="0"/>
                      <wp:wrapNone/>
                      <wp:docPr id="22" name="Frame1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72135" cy="175260"/>
                      <wp:effectExtent l="0" t="0" r="0" b="0"/>
                      <wp:wrapNone/>
                      <wp:docPr id="23" name="Frame17"/>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24" name="Frame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43510" cy="175260"/>
                      <wp:effectExtent l="0" t="0" r="0" b="0"/>
                      <wp:wrapNone/>
                      <wp:docPr id="25" name="Frame1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00710" cy="175260"/>
                      <wp:effectExtent l="0" t="0" r="0" b="0"/>
                      <wp:wrapNone/>
                      <wp:docPr id="26" name="Frame20"/>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64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112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center"/>
              <w:rPr/>
            </w:pPr>
            <w:r>
              <w:rPr/>
              <w:t>​</w:t>
            </w:r>
          </w:p>
        </w:tc>
        <w:tc>
          <w:tcPr>
            <w:tcW w:w="117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3556" w:type="dxa"/>
            <w:tcBorders/>
            <w:vAlign w:val="center"/>
          </w:tcPr>
          <w:p>
            <w:pPr>
              <w:pStyle w:val="TableContents"/>
              <w:pBdr/>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11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7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  ​</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4,159</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4,052</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48,016</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50,108</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 of use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1,775</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1,293</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asset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long-term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1,831</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1,718</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55,791</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57,258</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3,706</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4,660</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6,849</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5,254</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3,432</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2,209</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33,670</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18,000</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64,115</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30,001</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112,675</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61,213</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168,466</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118,471</w:t>
            </w:r>
          </w:p>
        </w:tc>
      </w:tr>
      <w:tr>
        <w:trPr/>
        <w:tc>
          <w:tcPr>
            <w:tcW w:w="355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EQUITY AND LIABILITIES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left"/>
              <w:rPr/>
            </w:pPr>
            <w:r>
              <w:rPr/>
              <w:t>​</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Share capital and reserves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left"/>
              <w:rPr/>
            </w:pPr>
            <w:r>
              <w:rPr/>
              <w:t>​</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capital</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7,075</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6,505</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premium</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415,011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335,134</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 based payment reserve</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13,468</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12,395</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1,125</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loss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(353,570)</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(306,029)</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 attributable to shareholders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83,109</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49,129</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liabilities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debt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34,976</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17,670</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637</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liability</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681</w:t>
            </w:r>
          </w:p>
        </w:tc>
      </w:tr>
      <w:tr>
        <w:trPr/>
        <w:tc>
          <w:tcPr>
            <w:tcW w:w="35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38,091</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20,384</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Financial debt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23,135</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22,990</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Lease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payables</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12,638</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 </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13,727</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tax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4,020</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 </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3,939</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1,000</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894</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5,922</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6,629</w:t>
            </w:r>
          </w:p>
        </w:tc>
      </w:tr>
      <w:tr>
        <w:trPr/>
        <w:tc>
          <w:tcPr>
            <w:tcW w:w="3556" w:type="dxa"/>
            <w:tcBorders/>
            <w:vAlign w:val="center"/>
          </w:tcPr>
          <w:p>
            <w:pPr>
              <w:pStyle w:val="TableContents"/>
              <w:pBdr/>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47,266</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48,958</w:t>
            </w:r>
          </w:p>
        </w:tc>
      </w:tr>
      <w:tr>
        <w:trPr/>
        <w:tc>
          <w:tcPr>
            <w:tcW w:w="3556"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85,357</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69,342</w:t>
            </w:r>
          </w:p>
        </w:tc>
      </w:tr>
      <w:tr>
        <w:trPr/>
        <w:tc>
          <w:tcPr>
            <w:tcW w:w="355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equity and liabilities</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168,466</w:t>
            </w:r>
          </w:p>
        </w:tc>
        <w:tc>
          <w:tcPr>
            <w:tcW w:w="346" w:type="dxa"/>
            <w:tcBorders/>
            <w:vAlign w:val="center"/>
          </w:tcPr>
          <w:p>
            <w:pPr>
              <w:pStyle w:val="TableContents"/>
              <w:bidi w:val="0"/>
              <w:spacing w:before="0" w:after="1"/>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118,471</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pPr>
      <w:r>
        <w:rPr/>
        <w:drawing>
          <wp:inline distT="0" distB="0" distL="0" distR="0">
            <wp:extent cx="1657350" cy="628650"/>
            <wp:effectExtent l="0" t="0" r="0" b="0"/>
            <wp:docPr id="2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7" descr=""/>
                    <pic:cNvPicPr>
                      <a:picLocks noChangeAspect="1" noChangeArrowheads="1"/>
                    </pic:cNvPicPr>
                  </pic:nvPicPr>
                  <pic:blipFill>
                    <a:blip r:embed="rId8"/>
                    <a:stretch>
                      <a:fillRect/>
                    </a:stretch>
                  </pic:blipFill>
                  <pic:spPr bwMode="auto">
                    <a:xfrm>
                      <a:off x="0" y="0"/>
                      <a:ext cx="1657350" cy="628650"/>
                    </a:xfrm>
                    <a:prstGeom prst="rect">
                      <a:avLst/>
                    </a:prstGeom>
                  </pic:spPr>
                </pic:pic>
              </a:graphicData>
            </a:graphic>
          </wp:inline>
        </w:drawing>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Non-GAAP Financial Measures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contains a reconciliation of GAAP operating expenses to non-GAAP cash operating expenses for the three and six months ended June 30, 2026 and 2025, respectively.</w:t>
      </w:r>
    </w:p>
    <w:tbl>
      <w:tblPr>
        <w:tblW w:w="8998" w:type="dxa"/>
        <w:jc w:val="center"/>
        <w:tblInd w:w="0" w:type="dxa"/>
        <w:tblLayout w:type="fixed"/>
        <w:tblCellMar>
          <w:top w:w="0" w:type="dxa"/>
          <w:left w:w="0" w:type="dxa"/>
          <w:bottom w:w="0" w:type="dxa"/>
          <w:right w:w="0" w:type="dxa"/>
        </w:tblCellMar>
      </w:tblPr>
      <w:tblGrid>
        <w:gridCol w:w="3871"/>
        <w:gridCol w:w="346"/>
        <w:gridCol w:w="226"/>
        <w:gridCol w:w="691"/>
        <w:gridCol w:w="346"/>
        <w:gridCol w:w="226"/>
        <w:gridCol w:w="676"/>
        <w:gridCol w:w="346"/>
        <w:gridCol w:w="226"/>
        <w:gridCol w:w="691"/>
        <w:gridCol w:w="346"/>
        <w:gridCol w:w="226"/>
        <w:gridCol w:w="781"/>
      </w:tblGrid>
      <w:tr>
        <w:trPr/>
        <w:tc>
          <w:tcPr>
            <w:tcW w:w="3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458085" cy="175260"/>
                      <wp:effectExtent l="0" t="0" r="0" b="0"/>
                      <wp:wrapNone/>
                      <wp:docPr id="28" name="Frame21"/>
                      <a:graphic xmlns:a="http://schemas.openxmlformats.org/drawingml/2006/main">
                        <a:graphicData uri="http://schemas.microsoft.com/office/word/2010/wordprocessingShape">
                          <wps:wsp>
                            <wps:cNvSpPr txBox="1"/>
                            <wps:spPr>
                              <a:xfrm>
                                <a:off x="0" y="0"/>
                                <a:ext cx="2458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43510" cy="175260"/>
                      <wp:effectExtent l="0" t="0" r="0" b="0"/>
                      <wp:wrapNone/>
                      <wp:docPr id="30" name="Frame2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38785" cy="175260"/>
                      <wp:effectExtent l="0" t="0" r="0" b="0"/>
                      <wp:wrapNone/>
                      <wp:docPr id="31" name="Frame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43510" cy="175260"/>
                      <wp:effectExtent l="0" t="0" r="0" b="0"/>
                      <wp:wrapNone/>
                      <wp:docPr id="33" name="Frame2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29260" cy="175260"/>
                      <wp:effectExtent l="0" t="0" r="0" b="0"/>
                      <wp:wrapNone/>
                      <wp:docPr id="34" name="Frame2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43510" cy="175260"/>
                      <wp:effectExtent l="0" t="0" r="0" b="0"/>
                      <wp:wrapNone/>
                      <wp:docPr id="36" name="Frame2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785" cy="175260"/>
                      <wp:effectExtent l="0" t="0" r="0" b="0"/>
                      <wp:wrapNone/>
                      <wp:docPr id="37" name="Frame3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43510" cy="175260"/>
                      <wp:effectExtent l="0" t="0" r="0" b="0"/>
                      <wp:wrapNone/>
                      <wp:docPr id="39" name="Frame3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96570" cy="175260"/>
                      <wp:effectExtent l="0" t="0" r="0" b="0"/>
                      <wp:wrapNone/>
                      <wp:docPr id="40" name="Frame33"/>
                      <a:graphic xmlns:a="http://schemas.openxmlformats.org/drawingml/2006/main">
                        <a:graphicData uri="http://schemas.microsoft.com/office/word/2010/wordprocessingShape">
                          <wps:wsp>
                            <wps:cNvSpPr txBox="1"/>
                            <wps:spPr>
                              <a:xfrm>
                                <a:off x="0" y="0"/>
                                <a:ext cx="4965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6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46" w:type="dxa"/>
            <w:tcBorders/>
            <w:vAlign w:val="center"/>
          </w:tcPr>
          <w:p>
            <w:pPr>
              <w:pStyle w:val="TableContents"/>
              <w:bidi w:val="0"/>
              <w:spacing w:before="0" w:after="0"/>
              <w:ind w:left="0" w:right="0" w:hanging="0"/>
              <w:jc w:val="left"/>
              <w:rPr/>
            </w:pPr>
            <w:r>
              <w:rPr/>
              <w:t>​</w:t>
            </w:r>
          </w:p>
        </w:tc>
        <w:tc>
          <w:tcPr>
            <w:tcW w:w="2270"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8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22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87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Unaudited – In thousands</w:t>
            </w:r>
          </w:p>
        </w:tc>
        <w:tc>
          <w:tcPr>
            <w:tcW w:w="346" w:type="dxa"/>
            <w:tcBorders/>
            <w:vAlign w:val="center"/>
          </w:tcPr>
          <w:p>
            <w:pPr>
              <w:pStyle w:val="TableContents"/>
              <w:bidi w:val="0"/>
              <w:spacing w:before="0" w:after="0"/>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GAAP R&amp;D 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9,543</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10,059</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18,347</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19,048</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 and amortization</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(2,746)</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Impairment of intangibles</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(332)</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Capitalized R&amp;D</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Cash R&amp;D Operating Expenses</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7,819</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10,226</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15,428</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19,358</w:t>
            </w:r>
          </w:p>
        </w:tc>
      </w:tr>
      <w:tr>
        <w:trPr/>
        <w:tc>
          <w:tcPr>
            <w:tcW w:w="387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left"/>
              <w:rPr/>
            </w:pPr>
            <w:r>
              <w:rPr/>
              <w:t>​</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GAAP SG&amp;A Operating Expenses</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15,618</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10,672</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30,992</w:t>
            </w:r>
          </w:p>
        </w:tc>
        <w:tc>
          <w:tcPr>
            <w:tcW w:w="346" w:type="dxa"/>
            <w:tcBorders/>
            <w:vAlign w:val="center"/>
          </w:tcPr>
          <w:p>
            <w:pPr>
              <w:pStyle w:val="TableContents"/>
              <w:bidi w:val="0"/>
              <w:spacing w:before="0" w:after="0"/>
              <w:ind w:left="0" w:right="0" w:hanging="0"/>
              <w:jc w:val="left"/>
              <w:rPr/>
            </w:pPr>
            <w:r>
              <w:rPr/>
              <w:t> </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23,063</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Depreciation</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r>
      <w:tr>
        <w:trPr/>
        <w:tc>
          <w:tcPr>
            <w:tcW w:w="38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Share-based compensation</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(2,111)</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(2,447)</w:t>
            </w:r>
          </w:p>
        </w:tc>
      </w:tr>
      <w:tr>
        <w:trPr/>
        <w:tc>
          <w:tcPr>
            <w:tcW w:w="38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Non-GAAP Cash SG&amp;A 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13,968</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9,534</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28,099</w:t>
            </w:r>
          </w:p>
        </w:tc>
        <w:tc>
          <w:tcPr>
            <w:tcW w:w="346" w:type="dxa"/>
            <w:tcBorders/>
            <w:shd w:fill="CCEEFF" w:val="clear"/>
            <w:vAlign w:val="center"/>
          </w:tcPr>
          <w:p>
            <w:pPr>
              <w:pStyle w:val="TableContents"/>
              <w:bidi w:val="0"/>
              <w:spacing w:before="0" w:after="0"/>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19,898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Contacts:</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Nyxoah</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John Landry, CFO</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IR@nyxoah.com</w:t>
      </w:r>
    </w:p>
    <w:p>
      <w:pPr>
        <w:pStyle w:val="TextBody"/>
        <w:bidi w:val="0"/>
        <w:spacing w:before="0" w:after="24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Rémi Renard</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Head of Investor Relations &amp; Corporate Communication</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IR@nyxoah.com</w:t>
      </w:r>
    </w:p>
    <w:p>
      <w:pPr>
        <w:pStyle w:val="TextBody"/>
        <w:bidi w:val="0"/>
        <w:spacing w:before="480" w:after="0"/>
        <w:ind w:left="0" w:right="0" w:hanging="0"/>
        <w:jc w:val="right"/>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hyperlink w:anchor="TOC">
        <w:bookmarkStart w:id="8" w:name="nyxh-20260630xex99d2.htm"/>
        <w:bookmarkStart w:id="9" w:name="ksnyxh20260630xex99d2"/>
        <w:bookmarkEnd w:id="8"/>
        <w:bookmarkEnd w:id="9"/>
        <w:r>
          <w:rPr>
            <w:rStyle w:val="InternetLink"/>
            <w:rFonts w:ascii="Times New Roman;Times;serif" w:hAnsi="Times New Roman;Times;serif"/>
            <w:b w:val="false"/>
            <w:i w:val="false"/>
            <w:caps w:val="false"/>
            <w:smallCaps w:val="false"/>
            <w:sz w:val="20"/>
          </w:rPr>
          <w:t>Table of Contents</w:t>
        </w:r>
      </w:hyperlink>
      <w:r>
        <w:br w:type="page"/>
      </w:r>
    </w:p>
    <w:p>
      <w:pPr>
        <w:pStyle w:val="TextBody"/>
        <w:bidi w:val="0"/>
        <w:spacing w:before="0" w:after="240"/>
        <w:ind w:left="0" w:right="0" w:hanging="0"/>
        <w:jc w:val="right"/>
        <w:rPr>
          <w:rFonts w:ascii="Times New Roman;Times;serif" w:hAnsi="Times New Roman;Times;serif"/>
          <w:b/>
          <w:sz w:val="20"/>
        </w:rPr>
      </w:pPr>
      <w:bookmarkStart w:id="10" w:name="_2ad258f9_4ea5_4672_9c2b_0d0e57835b01"/>
      <w:bookmarkEnd w:id="10"/>
      <w:r>
        <w:rPr>
          <w:rFonts w:ascii="Times New Roman;Times;serif" w:hAnsi="Times New Roman;Times;serif"/>
          <w:b/>
          <w:sz w:val="20"/>
        </w:rPr>
        <w:t>Exhibit 99.2</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INTERIM FINANCIAL REPORT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FIRST HALF 2026</w:t>
      </w:r>
    </w:p>
    <w:p>
      <w:pPr>
        <w:pStyle w:val="TextBody"/>
        <w:bidi w:val="0"/>
        <w:spacing w:before="0" w:after="200"/>
        <w:ind w:left="0" w:right="0" w:hanging="0"/>
        <w:jc w:val="center"/>
        <w:rPr>
          <w:rFonts w:ascii="Times New Roman;Times;serif" w:hAnsi="Times New Roman;Times;serif"/>
          <w:b/>
          <w:sz w:val="20"/>
        </w:rPr>
      </w:pPr>
      <w:bookmarkStart w:id="11" w:name="TOC"/>
      <w:bookmarkEnd w:id="11"/>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765"/>
        <w:gridCol w:w="109"/>
        <w:gridCol w:w="331"/>
      </w:tblGrid>
      <w:tr>
        <w:trPr/>
        <w:tc>
          <w:tcPr>
            <w:tcW w:w="97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200775" cy="175260"/>
                      <wp:effectExtent l="0" t="0" r="0" b="0"/>
                      <wp:wrapNone/>
                      <wp:docPr id="41" name="Frame34"/>
                      <a:graphic xmlns:a="http://schemas.openxmlformats.org/drawingml/2006/main">
                        <a:graphicData uri="http://schemas.microsoft.com/office/word/2010/wordprocessingShape">
                          <wps:wsp>
                            <wps:cNvSpPr txBox="1"/>
                            <wps:spPr>
                              <a:xfrm>
                                <a:off x="0" y="0"/>
                                <a:ext cx="62007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9215" cy="175260"/>
                      <wp:effectExtent l="0" t="0" r="0" b="0"/>
                      <wp:wrapNone/>
                      <wp:docPr id="42" name="Frame3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210185" cy="175260"/>
                      <wp:effectExtent l="0" t="0" r="0" b="0"/>
                      <wp:wrapNone/>
                      <wp:docPr id="43" name="Frame36"/>
                      <a:graphic xmlns:a="http://schemas.openxmlformats.org/drawingml/2006/main">
                        <a:graphicData uri="http://schemas.microsoft.com/office/word/2010/wordprocessingShape">
                          <wps:wsp>
                            <wps:cNvSpPr txBox="1"/>
                            <wps:spPr>
                              <a:xfrm>
                                <a:off x="0" y="0"/>
                                <a:ext cx="210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9765" w:type="dxa"/>
            <w:tcBorders/>
            <w:vAlign w:val="center"/>
          </w:tcPr>
          <w:p>
            <w:pPr>
              <w:pStyle w:val="TableContents"/>
              <w:bidi w:val="0"/>
              <w:spacing w:before="0" w:after="0"/>
              <w:ind w:left="0" w:right="0" w:hanging="0"/>
              <w:jc w:val="left"/>
              <w:rPr/>
            </w:pPr>
            <w:hyperlink w:anchor="INTERIMFINANCIALREPORT_905753">
              <w:r>
                <w:rPr>
                  <w:rStyle w:val="InternetLink"/>
                  <w:rFonts w:ascii="Times New Roman;Times;serif" w:hAnsi="Times New Roman;Times;serif"/>
                  <w:b w:val="false"/>
                  <w:i w:val="false"/>
                  <w:caps w:val="false"/>
                  <w:smallCaps w:val="false"/>
                  <w:sz w:val="18"/>
                </w:rPr>
                <w:t>Interim financial report</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9765" w:type="dxa"/>
            <w:tcBorders/>
            <w:vAlign w:val="center"/>
          </w:tcPr>
          <w:p>
            <w:pPr>
              <w:pStyle w:val="TableContents"/>
              <w:bidi w:val="0"/>
              <w:spacing w:before="0" w:after="0"/>
              <w:ind w:left="0" w:right="0" w:hanging="0"/>
              <w:jc w:val="left"/>
              <w:rPr/>
            </w:pPr>
            <w:hyperlink w:anchor="a1BUSINESSUPDATE_54409">
              <w:r>
                <w:rPr>
                  <w:rStyle w:val="InternetLink"/>
                  <w:rFonts w:ascii="Times New Roman;Times;serif" w:hAnsi="Times New Roman;Times;serif"/>
                  <w:b w:val="false"/>
                  <w:i w:val="false"/>
                  <w:caps w:val="false"/>
                  <w:smallCaps w:val="false"/>
                  <w:sz w:val="18"/>
                </w:rPr>
                <w:t>1. BUSINESS UPDATE</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w:t>
            </w:r>
          </w:p>
        </w:tc>
      </w:tr>
      <w:tr>
        <w:trPr/>
        <w:tc>
          <w:tcPr>
            <w:tcW w:w="9765" w:type="dxa"/>
            <w:tcBorders/>
            <w:vAlign w:val="center"/>
          </w:tcPr>
          <w:p>
            <w:pPr>
              <w:pStyle w:val="TableContents"/>
              <w:bidi w:val="0"/>
              <w:spacing w:before="0" w:after="0"/>
              <w:ind w:left="0" w:right="0" w:hanging="0"/>
              <w:jc w:val="left"/>
              <w:rPr/>
            </w:pPr>
            <w:hyperlink w:anchor="a2FINANCIALHIGHLIGHTS_380413">
              <w:r>
                <w:rPr>
                  <w:rStyle w:val="InternetLink"/>
                  <w:rFonts w:ascii="Times New Roman;Times;serif" w:hAnsi="Times New Roman;Times;serif"/>
                  <w:b w:val="false"/>
                  <w:i w:val="false"/>
                  <w:caps w:val="false"/>
                  <w:smallCaps w:val="false"/>
                  <w:sz w:val="18"/>
                </w:rPr>
                <w:t>2. FINANCIAL HIGHLIGHTS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w:t>
            </w:r>
          </w:p>
        </w:tc>
      </w:tr>
      <w:tr>
        <w:trPr/>
        <w:tc>
          <w:tcPr>
            <w:tcW w:w="9765" w:type="dxa"/>
            <w:tcBorders/>
            <w:vAlign w:val="center"/>
          </w:tcPr>
          <w:p>
            <w:pPr>
              <w:pStyle w:val="TableContents"/>
              <w:bidi w:val="0"/>
              <w:spacing w:before="0" w:after="0"/>
              <w:ind w:left="0" w:right="0" w:hanging="0"/>
              <w:jc w:val="left"/>
              <w:rPr/>
            </w:pPr>
            <w:hyperlink w:anchor="a32022OUTLOOK_702979">
              <w:r>
                <w:rPr>
                  <w:rStyle w:val="InternetLink"/>
                  <w:rFonts w:ascii="Times New Roman;Times;serif" w:hAnsi="Times New Roman;Times;serif"/>
                  <w:b w:val="false"/>
                  <w:i w:val="false"/>
                  <w:caps w:val="false"/>
                  <w:smallCaps w:val="false"/>
                  <w:sz w:val="18"/>
                </w:rPr>
                <w:t>3. 2026 OUTLOOK</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9765" w:type="dxa"/>
            <w:tcBorders/>
            <w:vAlign w:val="center"/>
          </w:tcPr>
          <w:p>
            <w:pPr>
              <w:pStyle w:val="TableContents"/>
              <w:bidi w:val="0"/>
              <w:spacing w:before="0" w:after="0"/>
              <w:ind w:left="0" w:right="0" w:hanging="0"/>
              <w:jc w:val="left"/>
              <w:rPr/>
            </w:pPr>
            <w:hyperlink w:anchor="a4RISKFACTORS_312917">
              <w:r>
                <w:rPr>
                  <w:rStyle w:val="InternetLink"/>
                  <w:rFonts w:ascii="Times New Roman;Times;serif" w:hAnsi="Times New Roman;Times;serif"/>
                  <w:b w:val="false"/>
                  <w:i w:val="false"/>
                  <w:caps w:val="false"/>
                  <w:smallCaps w:val="false"/>
                  <w:sz w:val="18"/>
                </w:rPr>
                <w:t>4. RISK FACTORS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9765" w:type="dxa"/>
            <w:tcBorders/>
            <w:vAlign w:val="center"/>
          </w:tcPr>
          <w:p>
            <w:pPr>
              <w:pStyle w:val="TableContents"/>
              <w:bidi w:val="0"/>
              <w:spacing w:before="0" w:after="0"/>
              <w:ind w:left="0" w:right="0" w:hanging="0"/>
              <w:jc w:val="left"/>
              <w:rPr/>
            </w:pPr>
            <w:hyperlink w:anchor="a5FORWARDLOOKINGSTATEMENTS_268290">
              <w:r>
                <w:rPr>
                  <w:rStyle w:val="InternetLink"/>
                  <w:rFonts w:ascii="Times New Roman;Times;serif" w:hAnsi="Times New Roman;Times;serif"/>
                  <w:b w:val="false"/>
                  <w:i w:val="false"/>
                  <w:caps w:val="false"/>
                  <w:smallCaps w:val="false"/>
                  <w:sz w:val="18"/>
                </w:rPr>
                <w:t>5. FORWARD-LOOKING STATEMENTS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w:t>
            </w:r>
          </w:p>
        </w:tc>
      </w:tr>
      <w:tr>
        <w:trPr/>
        <w:tc>
          <w:tcPr>
            <w:tcW w:w="9765" w:type="dxa"/>
            <w:tcBorders/>
            <w:vAlign w:val="center"/>
          </w:tcPr>
          <w:p>
            <w:pPr>
              <w:pStyle w:val="TableContents"/>
              <w:bidi w:val="0"/>
              <w:spacing w:before="0" w:after="0"/>
              <w:ind w:left="0" w:right="0" w:hanging="0"/>
              <w:jc w:val="left"/>
              <w:rPr/>
            </w:pPr>
            <w:hyperlink w:anchor="INTERIMCONSOLIDATEDSTATEMENTOFFINANCIALP">
              <w:r>
                <w:rPr>
                  <w:rStyle w:val="InternetLink"/>
                  <w:rFonts w:ascii="Times New Roman;Times;serif" w:hAnsi="Times New Roman;Times;serif"/>
                  <w:b w:val="false"/>
                  <w:i w:val="false"/>
                  <w:caps w:val="false"/>
                  <w:smallCaps w:val="false"/>
                  <w:sz w:val="18"/>
                </w:rPr>
                <w:t>Unaudited condensed consolidated interim financial information as at and for the six months ended June 30, 2026 – Interim consolidated statement of financial position</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r>
      <w:tr>
        <w:trPr/>
        <w:tc>
          <w:tcPr>
            <w:tcW w:w="9765" w:type="dxa"/>
            <w:tcBorders/>
            <w:vAlign w:val="center"/>
          </w:tcPr>
          <w:p>
            <w:pPr>
              <w:pStyle w:val="TableContents"/>
              <w:bidi w:val="0"/>
              <w:spacing w:before="0" w:after="0"/>
              <w:ind w:left="0" w:right="0" w:hanging="0"/>
              <w:jc w:val="left"/>
              <w:rPr/>
            </w:pPr>
            <w:hyperlink w:anchor="INTERIMCONSOLIDATEDSTATEMENTSOFLOSSANDOT">
              <w:r>
                <w:rPr>
                  <w:rStyle w:val="InternetLink"/>
                  <w:rFonts w:ascii="Times New Roman;Times;serif" w:hAnsi="Times New Roman;Times;serif"/>
                  <w:b w:val="false"/>
                  <w:i w:val="false"/>
                  <w:caps w:val="false"/>
                  <w:smallCaps w:val="false"/>
                  <w:sz w:val="18"/>
                </w:rPr>
                <w:t>Unaudited condensed consolidated interim financial information as at and for the six months ended June 30, 2026 - Interim consolidated statements of loss and other comprehensive loss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w:t>
            </w:r>
          </w:p>
        </w:tc>
      </w:tr>
      <w:tr>
        <w:trPr/>
        <w:tc>
          <w:tcPr>
            <w:tcW w:w="9765" w:type="dxa"/>
            <w:tcBorders/>
            <w:vAlign w:val="center"/>
          </w:tcPr>
          <w:p>
            <w:pPr>
              <w:pStyle w:val="TableContents"/>
              <w:bidi w:val="0"/>
              <w:spacing w:before="0" w:after="0"/>
              <w:ind w:left="0" w:right="0" w:hanging="0"/>
              <w:jc w:val="left"/>
              <w:rPr/>
            </w:pPr>
            <w:hyperlink w:anchor="INTERIMCONSOLIDATEDSTATEMENTSOFCHANGESIN">
              <w:r>
                <w:rPr>
                  <w:rStyle w:val="InternetLink"/>
                  <w:rFonts w:ascii="Times New Roman;Times;serif" w:hAnsi="Times New Roman;Times;serif"/>
                  <w:b w:val="false"/>
                  <w:i w:val="false"/>
                  <w:caps w:val="false"/>
                  <w:smallCaps w:val="false"/>
                  <w:sz w:val="18"/>
                </w:rPr>
                <w:t>Unaudited condensed consolidated interim financial information as at and for the six months ended, June 30, 2026 - Interim consolidated statements of changes in equity</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r>
      <w:tr>
        <w:trPr/>
        <w:tc>
          <w:tcPr>
            <w:tcW w:w="9765" w:type="dxa"/>
            <w:tcBorders/>
            <w:vAlign w:val="center"/>
          </w:tcPr>
          <w:p>
            <w:pPr>
              <w:pStyle w:val="TableContents"/>
              <w:bidi w:val="0"/>
              <w:spacing w:before="0" w:after="0"/>
              <w:ind w:left="0" w:right="0" w:hanging="0"/>
              <w:jc w:val="left"/>
              <w:rPr/>
            </w:pPr>
            <w:hyperlink w:anchor="INTERIMCONSOLIDATEDSTATEMENTSOFCASHFLOWS">
              <w:r>
                <w:rPr>
                  <w:rStyle w:val="InternetLink"/>
                  <w:rFonts w:ascii="Times New Roman;Times;serif" w:hAnsi="Times New Roman;Times;serif"/>
                  <w:b w:val="false"/>
                  <w:i w:val="false"/>
                  <w:caps w:val="false"/>
                  <w:smallCaps w:val="false"/>
                  <w:sz w:val="18"/>
                </w:rPr>
                <w:t>Unaudited condensed consolidated interim financial information as at and for the six months ended June 30, 2026 – Interim consolidated statements of cash flows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r>
      <w:tr>
        <w:trPr/>
        <w:tc>
          <w:tcPr>
            <w:tcW w:w="9765" w:type="dxa"/>
            <w:tcBorders/>
            <w:vAlign w:val="center"/>
          </w:tcPr>
          <w:p>
            <w:pPr>
              <w:pStyle w:val="TableContents"/>
              <w:bidi w:val="0"/>
              <w:spacing w:before="0" w:after="0"/>
              <w:ind w:left="0" w:right="0" w:hanging="0"/>
              <w:jc w:val="left"/>
              <w:rPr/>
            </w:pPr>
            <w:hyperlink w:anchor="NOTESTOTHEUNAUDITEDCONDENSEDINTERIMCONSO">
              <w:r>
                <w:rPr>
                  <w:rStyle w:val="InternetLink"/>
                  <w:rFonts w:ascii="Times New Roman;Times;serif" w:hAnsi="Times New Roman;Times;serif"/>
                  <w:b w:val="false"/>
                  <w:i w:val="false"/>
                  <w:caps w:val="false"/>
                  <w:smallCaps w:val="false"/>
                  <w:sz w:val="18"/>
                </w:rPr>
                <w:t>Notes to the unaudited condensed interim consolidated financial information</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9765" w:type="dxa"/>
            <w:tcBorders/>
            <w:vAlign w:val="center"/>
          </w:tcPr>
          <w:p>
            <w:pPr>
              <w:pStyle w:val="TableContents"/>
              <w:bidi w:val="0"/>
              <w:spacing w:before="0" w:after="0"/>
              <w:ind w:left="0" w:right="0" w:hanging="0"/>
              <w:jc w:val="left"/>
              <w:rPr/>
            </w:pPr>
            <w:hyperlink w:anchor="a1Generalinformation_838464">
              <w:r>
                <w:rPr>
                  <w:rStyle w:val="InternetLink"/>
                  <w:rFonts w:ascii="Times New Roman;Times;serif" w:hAnsi="Times New Roman;Times;serif"/>
                  <w:b w:val="false"/>
                  <w:i w:val="false"/>
                  <w:caps w:val="false"/>
                  <w:smallCaps w:val="false"/>
                  <w:sz w:val="18"/>
                </w:rPr>
                <w:t>1. General information</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9765" w:type="dxa"/>
            <w:tcBorders/>
            <w:vAlign w:val="center"/>
          </w:tcPr>
          <w:p>
            <w:pPr>
              <w:pStyle w:val="TableContents"/>
              <w:bidi w:val="0"/>
              <w:spacing w:before="0" w:after="0"/>
              <w:ind w:left="0" w:right="0" w:hanging="0"/>
              <w:jc w:val="left"/>
              <w:rPr/>
            </w:pPr>
            <w:hyperlink w:anchor="a2Significantaccountingpolicies_913572">
              <w:r>
                <w:rPr>
                  <w:rStyle w:val="InternetLink"/>
                  <w:rFonts w:ascii="Times New Roman;Times;serif" w:hAnsi="Times New Roman;Times;serif"/>
                  <w:b w:val="false"/>
                  <w:i w:val="false"/>
                  <w:caps w:val="false"/>
                  <w:smallCaps w:val="false"/>
                  <w:sz w:val="18"/>
                </w:rPr>
                <w:t>2. Material accounting policies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r>
      <w:tr>
        <w:trPr/>
        <w:tc>
          <w:tcPr>
            <w:tcW w:w="9765" w:type="dxa"/>
            <w:tcBorders/>
            <w:vAlign w:val="center"/>
          </w:tcPr>
          <w:p>
            <w:pPr>
              <w:pStyle w:val="TableContents"/>
              <w:bidi w:val="0"/>
              <w:spacing w:before="0" w:after="0"/>
              <w:ind w:left="0" w:right="0" w:hanging="0"/>
              <w:jc w:val="left"/>
              <w:rPr/>
            </w:pPr>
            <w:hyperlink w:anchor="a3Criticalaccountingestimatesandassumpti">
              <w:r>
                <w:rPr>
                  <w:rStyle w:val="InternetLink"/>
                  <w:rFonts w:ascii="Times New Roman;Times;serif" w:hAnsi="Times New Roman;Times;serif"/>
                  <w:b w:val="false"/>
                  <w:i w:val="false"/>
                  <w:caps w:val="false"/>
                  <w:smallCaps w:val="false"/>
                  <w:sz w:val="18"/>
                </w:rPr>
                <w:t>3. Critical accounting estimates and assumptions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9765" w:type="dxa"/>
            <w:tcBorders/>
            <w:vAlign w:val="center"/>
          </w:tcPr>
          <w:p>
            <w:pPr>
              <w:pStyle w:val="TableContents"/>
              <w:bidi w:val="0"/>
              <w:spacing w:before="0" w:after="0"/>
              <w:ind w:left="0" w:right="0" w:hanging="0"/>
              <w:jc w:val="left"/>
              <w:rPr/>
            </w:pPr>
            <w:hyperlink w:anchor="a4Segmentreporting_162606">
              <w:r>
                <w:rPr>
                  <w:rStyle w:val="InternetLink"/>
                  <w:rFonts w:ascii="Times New Roman;Times;serif" w:hAnsi="Times New Roman;Times;serif"/>
                  <w:b w:val="false"/>
                  <w:i w:val="false"/>
                  <w:caps w:val="false"/>
                  <w:smallCaps w:val="false"/>
                  <w:sz w:val="18"/>
                </w:rPr>
                <w:t>4. Segment reporting</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w:t>
            </w:r>
          </w:p>
        </w:tc>
      </w:tr>
      <w:tr>
        <w:trPr/>
        <w:tc>
          <w:tcPr>
            <w:tcW w:w="9765" w:type="dxa"/>
            <w:tcBorders/>
            <w:vAlign w:val="center"/>
          </w:tcPr>
          <w:p>
            <w:pPr>
              <w:pStyle w:val="TableContents"/>
              <w:bidi w:val="0"/>
              <w:spacing w:before="0" w:after="0"/>
              <w:ind w:left="0" w:right="0" w:hanging="0"/>
              <w:jc w:val="left"/>
              <w:rPr/>
            </w:pPr>
            <w:hyperlink w:anchor="a5FairValue_918839">
              <w:r>
                <w:rPr>
                  <w:rStyle w:val="InternetLink"/>
                  <w:rFonts w:ascii="Times New Roman;Times;serif" w:hAnsi="Times New Roman;Times;serif"/>
                  <w:b w:val="false"/>
                  <w:i w:val="false"/>
                  <w:caps w:val="false"/>
                  <w:smallCaps w:val="false"/>
                  <w:sz w:val="18"/>
                </w:rPr>
                <w:t>5. Fair Value</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r>
      <w:tr>
        <w:trPr/>
        <w:tc>
          <w:tcPr>
            <w:tcW w:w="9765" w:type="dxa"/>
            <w:tcBorders/>
            <w:vAlign w:val="center"/>
          </w:tcPr>
          <w:p>
            <w:pPr>
              <w:pStyle w:val="TableContents"/>
              <w:bidi w:val="0"/>
              <w:spacing w:before="0" w:after="0"/>
              <w:ind w:left="0" w:right="0" w:hanging="0"/>
              <w:jc w:val="left"/>
              <w:rPr/>
            </w:pPr>
            <w:hyperlink w:anchor="a6Subsidiaries_557274">
              <w:r>
                <w:rPr>
                  <w:rStyle w:val="InternetLink"/>
                  <w:rFonts w:ascii="Times New Roman;Times;serif" w:hAnsi="Times New Roman;Times;serif"/>
                  <w:b w:val="false"/>
                  <w:i w:val="false"/>
                  <w:caps w:val="false"/>
                  <w:smallCaps w:val="false"/>
                  <w:sz w:val="18"/>
                </w:rPr>
                <w:t>6. Subsidiaries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r>
      <w:tr>
        <w:trPr/>
        <w:tc>
          <w:tcPr>
            <w:tcW w:w="9765" w:type="dxa"/>
            <w:tcBorders/>
            <w:vAlign w:val="center"/>
          </w:tcPr>
          <w:p>
            <w:pPr>
              <w:pStyle w:val="TableContents"/>
              <w:bidi w:val="0"/>
              <w:spacing w:before="0" w:after="0"/>
              <w:ind w:left="0" w:right="0" w:hanging="0"/>
              <w:jc w:val="left"/>
              <w:rPr/>
            </w:pPr>
            <w:hyperlink w:anchor="a7PropertyPlantandEquipment_388780">
              <w:r>
                <w:rPr>
                  <w:rStyle w:val="InternetLink"/>
                  <w:rFonts w:ascii="Times New Roman;Times;serif" w:hAnsi="Times New Roman;Times;serif"/>
                  <w:b w:val="false"/>
                  <w:i w:val="false"/>
                  <w:caps w:val="false"/>
                  <w:smallCaps w:val="false"/>
                  <w:sz w:val="18"/>
                </w:rPr>
                <w:t>7. Property, Plant and Equipment</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r>
      <w:tr>
        <w:trPr/>
        <w:tc>
          <w:tcPr>
            <w:tcW w:w="9765" w:type="dxa"/>
            <w:tcBorders/>
            <w:vAlign w:val="center"/>
          </w:tcPr>
          <w:p>
            <w:pPr>
              <w:pStyle w:val="TableContents"/>
              <w:bidi w:val="0"/>
              <w:spacing w:before="0" w:after="0"/>
              <w:ind w:left="0" w:right="0" w:hanging="0"/>
              <w:jc w:val="left"/>
              <w:rPr/>
            </w:pPr>
            <w:hyperlink w:anchor="a8Intangibleassets_87758">
              <w:r>
                <w:rPr>
                  <w:rStyle w:val="InternetLink"/>
                  <w:rFonts w:ascii="Times New Roman;Times;serif" w:hAnsi="Times New Roman;Times;serif"/>
                  <w:b w:val="false"/>
                  <w:i w:val="false"/>
                  <w:caps w:val="false"/>
                  <w:smallCaps w:val="false"/>
                  <w:sz w:val="18"/>
                </w:rPr>
                <w:t>8.  Intangible assets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9765" w:type="dxa"/>
            <w:tcBorders/>
            <w:vAlign w:val="center"/>
          </w:tcPr>
          <w:p>
            <w:pPr>
              <w:pStyle w:val="TableContents"/>
              <w:bidi w:val="0"/>
              <w:spacing w:before="0" w:after="0"/>
              <w:ind w:left="0" w:right="0" w:hanging="0"/>
              <w:jc w:val="left"/>
              <w:rPr/>
            </w:pPr>
            <w:hyperlink w:anchor="a9Rightofuseassetsandleaseliabilities_32">
              <w:r>
                <w:rPr>
                  <w:rStyle w:val="InternetLink"/>
                  <w:rFonts w:ascii="Times New Roman;Times;serif" w:hAnsi="Times New Roman;Times;serif"/>
                  <w:b w:val="false"/>
                  <w:i w:val="false"/>
                  <w:caps w:val="false"/>
                  <w:smallCaps w:val="false"/>
                  <w:sz w:val="18"/>
                </w:rPr>
                <w:t>9. Right of use assets and lease liabilities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9765" w:type="dxa"/>
            <w:tcBorders/>
            <w:vAlign w:val="center"/>
          </w:tcPr>
          <w:p>
            <w:pPr>
              <w:pStyle w:val="TableContents"/>
              <w:bidi w:val="0"/>
              <w:spacing w:before="0" w:after="0"/>
              <w:ind w:left="0" w:right="0" w:hanging="0"/>
              <w:jc w:val="left"/>
              <w:rPr/>
            </w:pPr>
            <w:hyperlink w:anchor="a10Otherlongtermreceivables_365535">
              <w:r>
                <w:rPr>
                  <w:rStyle w:val="InternetLink"/>
                  <w:rFonts w:ascii="Times New Roman;Times;serif" w:hAnsi="Times New Roman;Times;serif"/>
                  <w:b w:val="false"/>
                  <w:i w:val="false"/>
                  <w:caps w:val="false"/>
                  <w:smallCaps w:val="false"/>
                  <w:sz w:val="18"/>
                </w:rPr>
                <w:t>10. Other long-term receivables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w:t>
            </w:r>
          </w:p>
        </w:tc>
      </w:tr>
      <w:tr>
        <w:trPr/>
        <w:tc>
          <w:tcPr>
            <w:tcW w:w="9765" w:type="dxa"/>
            <w:tcBorders/>
            <w:vAlign w:val="center"/>
          </w:tcPr>
          <w:p>
            <w:pPr>
              <w:pStyle w:val="TableContents"/>
              <w:bidi w:val="0"/>
              <w:spacing w:before="0" w:after="0"/>
              <w:ind w:left="0" w:right="0" w:hanging="0"/>
              <w:jc w:val="left"/>
              <w:rPr/>
            </w:pPr>
            <w:hyperlink w:anchor="a10Inventory_280737">
              <w:r>
                <w:rPr>
                  <w:rStyle w:val="InternetLink"/>
                  <w:rFonts w:ascii="Times New Roman;Times;serif" w:hAnsi="Times New Roman;Times;serif"/>
                  <w:b w:val="false"/>
                  <w:i w:val="false"/>
                  <w:caps w:val="false"/>
                  <w:smallCaps w:val="false"/>
                  <w:sz w:val="18"/>
                </w:rPr>
                <w:t>11. Inventory</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r>
      <w:tr>
        <w:trPr/>
        <w:tc>
          <w:tcPr>
            <w:tcW w:w="9765" w:type="dxa"/>
            <w:tcBorders/>
            <w:vAlign w:val="center"/>
          </w:tcPr>
          <w:p>
            <w:pPr>
              <w:pStyle w:val="TableContents"/>
              <w:bidi w:val="0"/>
              <w:spacing w:before="0" w:after="0"/>
              <w:ind w:left="0" w:right="0" w:hanging="0"/>
              <w:jc w:val="left"/>
              <w:rPr/>
            </w:pPr>
            <w:hyperlink w:anchor="a11TradeandOtherreceivables_609397">
              <w:r>
                <w:rPr>
                  <w:rStyle w:val="InternetLink"/>
                  <w:rFonts w:ascii="Times New Roman;Times;serif" w:hAnsi="Times New Roman;Times;serif"/>
                  <w:b w:val="false"/>
                  <w:i w:val="false"/>
                  <w:caps w:val="false"/>
                  <w:smallCaps w:val="false"/>
                  <w:sz w:val="18"/>
                </w:rPr>
                <w:t>12. Trade receivables, Contract assets and Other receivables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r>
      <w:tr>
        <w:trPr/>
        <w:tc>
          <w:tcPr>
            <w:tcW w:w="9765" w:type="dxa"/>
            <w:tcBorders/>
            <w:vAlign w:val="center"/>
          </w:tcPr>
          <w:p>
            <w:pPr>
              <w:pStyle w:val="TableContents"/>
              <w:bidi w:val="0"/>
              <w:spacing w:before="0" w:after="0"/>
              <w:ind w:left="0" w:right="0" w:hanging="0"/>
              <w:jc w:val="left"/>
              <w:rPr/>
            </w:pPr>
            <w:hyperlink w:anchor="Othercurrentassets_366889">
              <w:r>
                <w:rPr>
                  <w:rStyle w:val="InternetLink"/>
                  <w:rFonts w:ascii="Times New Roman;Times;serif" w:hAnsi="Times New Roman;Times;serif"/>
                  <w:b w:val="false"/>
                  <w:i w:val="false"/>
                  <w:caps w:val="false"/>
                  <w:smallCaps w:val="false"/>
                  <w:sz w:val="18"/>
                </w:rPr>
                <w:t>13. Other current assets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r>
      <w:tr>
        <w:trPr/>
        <w:tc>
          <w:tcPr>
            <w:tcW w:w="9765" w:type="dxa"/>
            <w:tcBorders/>
            <w:vAlign w:val="center"/>
          </w:tcPr>
          <w:p>
            <w:pPr>
              <w:pStyle w:val="TableContents"/>
              <w:bidi w:val="0"/>
              <w:spacing w:before="0" w:after="0"/>
              <w:ind w:left="0" w:right="0" w:hanging="0"/>
              <w:jc w:val="left"/>
              <w:rPr/>
            </w:pPr>
            <w:hyperlink w:anchor="Cashandcashequivalents_23976">
              <w:r>
                <w:rPr>
                  <w:rStyle w:val="InternetLink"/>
                  <w:rFonts w:ascii="Times New Roman;Times;serif" w:hAnsi="Times New Roman;Times;serif"/>
                  <w:b w:val="false"/>
                  <w:i w:val="false"/>
                  <w:caps w:val="false"/>
                  <w:smallCaps w:val="false"/>
                  <w:sz w:val="18"/>
                </w:rPr>
                <w:t>14. Cash and cash equivalents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r>
      <w:tr>
        <w:trPr/>
        <w:tc>
          <w:tcPr>
            <w:tcW w:w="9765" w:type="dxa"/>
            <w:tcBorders/>
            <w:vAlign w:val="center"/>
          </w:tcPr>
          <w:p>
            <w:pPr>
              <w:pStyle w:val="TableContents"/>
              <w:bidi w:val="0"/>
              <w:spacing w:before="0" w:after="0"/>
              <w:ind w:left="0" w:right="0" w:hanging="0"/>
              <w:jc w:val="left"/>
              <w:rPr/>
            </w:pPr>
            <w:hyperlink w:anchor="a15Financialassets_574062">
              <w:r>
                <w:rPr>
                  <w:rStyle w:val="InternetLink"/>
                  <w:rFonts w:ascii="Times New Roman;Times;serif" w:hAnsi="Times New Roman;Times;serif"/>
                  <w:b w:val="false"/>
                  <w:i w:val="false"/>
                  <w:caps w:val="false"/>
                  <w:smallCaps w:val="false"/>
                  <w:sz w:val="18"/>
                </w:rPr>
                <w:t>15. Financial assets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r>
      <w:tr>
        <w:trPr/>
        <w:tc>
          <w:tcPr>
            <w:tcW w:w="9765" w:type="dxa"/>
            <w:tcBorders/>
            <w:vAlign w:val="center"/>
          </w:tcPr>
          <w:p>
            <w:pPr>
              <w:pStyle w:val="TableContents"/>
              <w:bidi w:val="0"/>
              <w:spacing w:before="0" w:after="0"/>
              <w:ind w:left="0" w:right="0" w:hanging="0"/>
              <w:jc w:val="left"/>
              <w:rPr/>
            </w:pPr>
            <w:hyperlink w:anchor="a16ShareCapitalSharePremiumReserves_1286">
              <w:r>
                <w:rPr>
                  <w:rStyle w:val="InternetLink"/>
                  <w:rFonts w:ascii="Times New Roman;Times;serif" w:hAnsi="Times New Roman;Times;serif"/>
                  <w:b w:val="false"/>
                  <w:i w:val="false"/>
                  <w:caps w:val="false"/>
                  <w:smallCaps w:val="false"/>
                  <w:sz w:val="18"/>
                </w:rPr>
                <w:t>16. Share Capital, Share Premium, Reserves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r>
      <w:tr>
        <w:trPr/>
        <w:tc>
          <w:tcPr>
            <w:tcW w:w="9765" w:type="dxa"/>
            <w:tcBorders/>
            <w:vAlign w:val="center"/>
          </w:tcPr>
          <w:p>
            <w:pPr>
              <w:pStyle w:val="TableContents"/>
              <w:bidi w:val="0"/>
              <w:spacing w:before="0" w:after="0"/>
              <w:ind w:left="0" w:right="0" w:hanging="0"/>
              <w:jc w:val="left"/>
              <w:rPr/>
            </w:pPr>
            <w:hyperlink w:anchor="a16ShareBasedcompensation_274881">
              <w:r>
                <w:rPr>
                  <w:rStyle w:val="InternetLink"/>
                  <w:rFonts w:ascii="Times New Roman;Times;serif" w:hAnsi="Times New Roman;Times;serif"/>
                  <w:b w:val="false"/>
                  <w:i w:val="false"/>
                  <w:caps w:val="false"/>
                  <w:smallCaps w:val="false"/>
                  <w:sz w:val="18"/>
                </w:rPr>
                <w:t>17. Share-Based compensation</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w:t>
            </w:r>
          </w:p>
        </w:tc>
      </w:tr>
      <w:tr>
        <w:trPr/>
        <w:tc>
          <w:tcPr>
            <w:tcW w:w="9765" w:type="dxa"/>
            <w:tcBorders/>
            <w:vAlign w:val="center"/>
          </w:tcPr>
          <w:p>
            <w:pPr>
              <w:pStyle w:val="TableContents"/>
              <w:bidi w:val="0"/>
              <w:spacing w:before="0" w:after="0"/>
              <w:ind w:left="0" w:right="0" w:hanging="0"/>
              <w:jc w:val="left"/>
              <w:rPr/>
            </w:pPr>
            <w:hyperlink w:anchor="a17FinancialDebt_442046">
              <w:r>
                <w:rPr>
                  <w:rStyle w:val="InternetLink"/>
                  <w:rFonts w:ascii="Times New Roman;Times;serif" w:hAnsi="Times New Roman;Times;serif"/>
                  <w:b w:val="false"/>
                  <w:i w:val="false"/>
                  <w:caps w:val="false"/>
                  <w:smallCaps w:val="false"/>
                  <w:sz w:val="18"/>
                </w:rPr>
                <w:t>18. Financial Debt</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w:t>
            </w:r>
          </w:p>
        </w:tc>
      </w:tr>
      <w:tr>
        <w:trPr/>
        <w:tc>
          <w:tcPr>
            <w:tcW w:w="9765" w:type="dxa"/>
            <w:tcBorders/>
            <w:vAlign w:val="center"/>
          </w:tcPr>
          <w:p>
            <w:pPr>
              <w:pStyle w:val="TableContents"/>
              <w:bidi w:val="0"/>
              <w:spacing w:before="0" w:after="0"/>
              <w:ind w:left="0" w:right="0" w:hanging="0"/>
              <w:jc w:val="left"/>
              <w:rPr/>
            </w:pPr>
            <w:hyperlink w:anchor="a19Provisions_668041">
              <w:r>
                <w:rPr>
                  <w:rStyle w:val="InternetLink"/>
                  <w:rFonts w:ascii="Times New Roman;Times;serif" w:hAnsi="Times New Roman;Times;serif"/>
                  <w:b w:val="false"/>
                  <w:i w:val="false"/>
                  <w:caps w:val="false"/>
                  <w:smallCaps w:val="false"/>
                  <w:sz w:val="18"/>
                </w:rPr>
                <w:t>19</w:t>
              </w:r>
            </w:hyperlink>
            <w:hyperlink w:anchor="a19Provisions_668041">
              <w:r>
                <w:rPr>
                  <w:rStyle w:val="InternetLink"/>
                  <w:rFonts w:ascii="Times New Roman;Times;serif" w:hAnsi="Times New Roman;Times;serif"/>
                  <w:b w:val="false"/>
                  <w:i w:val="false"/>
                  <w:caps w:val="false"/>
                  <w:smallCaps w:val="false"/>
                  <w:sz w:val="20"/>
                </w:rPr>
                <w:t xml:space="preserve">. </w:t>
              </w:r>
            </w:hyperlink>
            <w:hyperlink w:anchor="a19Provisions_668041">
              <w:r>
                <w:rPr>
                  <w:rStyle w:val="InternetLink"/>
                  <w:rFonts w:ascii="Times New Roman;Times;serif" w:hAnsi="Times New Roman;Times;serif"/>
                  <w:b w:val="false"/>
                  <w:i w:val="false"/>
                  <w:caps w:val="false"/>
                  <w:smallCaps w:val="false"/>
                  <w:sz w:val="18"/>
                </w:rPr>
                <w:t>Provisions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w:t>
            </w:r>
          </w:p>
        </w:tc>
      </w:tr>
      <w:tr>
        <w:trPr/>
        <w:tc>
          <w:tcPr>
            <w:tcW w:w="9765" w:type="dxa"/>
            <w:tcBorders/>
            <w:vAlign w:val="center"/>
          </w:tcPr>
          <w:p>
            <w:pPr>
              <w:pStyle w:val="TableContents"/>
              <w:bidi w:val="0"/>
              <w:spacing w:before="0" w:after="0"/>
              <w:ind w:left="0" w:right="0" w:hanging="0"/>
              <w:jc w:val="left"/>
              <w:rPr/>
            </w:pPr>
            <w:hyperlink w:anchor="a18Tradepayables_3356">
              <w:r>
                <w:rPr>
                  <w:rStyle w:val="InternetLink"/>
                  <w:rFonts w:ascii="Times New Roman;Times;serif" w:hAnsi="Times New Roman;Times;serif"/>
                  <w:b w:val="false"/>
                  <w:i w:val="false"/>
                  <w:caps w:val="false"/>
                  <w:smallCaps w:val="false"/>
                  <w:sz w:val="18"/>
                </w:rPr>
                <w:t>20. Trade payables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9765" w:type="dxa"/>
            <w:tcBorders/>
            <w:vAlign w:val="center"/>
          </w:tcPr>
          <w:p>
            <w:pPr>
              <w:pStyle w:val="TableContents"/>
              <w:bidi w:val="0"/>
              <w:spacing w:before="0" w:after="0"/>
              <w:ind w:left="0" w:right="0" w:hanging="0"/>
              <w:jc w:val="left"/>
              <w:rPr/>
            </w:pPr>
            <w:hyperlink w:anchor="a19Incometaxesanddeferredtaxes_679792">
              <w:r>
                <w:rPr>
                  <w:rStyle w:val="InternetLink"/>
                  <w:rFonts w:ascii="Times New Roman;Times;serif" w:hAnsi="Times New Roman;Times;serif"/>
                  <w:b w:val="false"/>
                  <w:i w:val="false"/>
                  <w:caps w:val="false"/>
                  <w:smallCaps w:val="false"/>
                  <w:sz w:val="18"/>
                </w:rPr>
                <w:t>21. Income taxes and deferred taxes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9765" w:type="dxa"/>
            <w:tcBorders/>
            <w:vAlign w:val="center"/>
          </w:tcPr>
          <w:p>
            <w:pPr>
              <w:pStyle w:val="TableContents"/>
              <w:bidi w:val="0"/>
              <w:spacing w:before="0" w:after="0"/>
              <w:ind w:left="0" w:right="0" w:hanging="0"/>
              <w:jc w:val="left"/>
              <w:rPr/>
            </w:pPr>
            <w:hyperlink w:anchor="a22Otherliabilities_484595">
              <w:r>
                <w:rPr>
                  <w:rStyle w:val="InternetLink"/>
                  <w:rFonts w:ascii="Times New Roman;Times;serif" w:hAnsi="Times New Roman;Times;serif"/>
                  <w:b w:val="false"/>
                  <w:i w:val="false"/>
                  <w:caps w:val="false"/>
                  <w:smallCaps w:val="false"/>
                  <w:sz w:val="18"/>
                </w:rPr>
                <w:t>22. Other liabilities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9765" w:type="dxa"/>
            <w:tcBorders/>
            <w:vAlign w:val="center"/>
          </w:tcPr>
          <w:p>
            <w:pPr>
              <w:pStyle w:val="TableContents"/>
              <w:bidi w:val="0"/>
              <w:spacing w:before="0" w:after="0"/>
              <w:ind w:left="0" w:right="0" w:hanging="0"/>
              <w:jc w:val="left"/>
              <w:rPr/>
            </w:pPr>
            <w:hyperlink w:anchor="a23Foreigncurrencyswapsandforwards_19180">
              <w:r>
                <w:rPr>
                  <w:rStyle w:val="InternetLink"/>
                  <w:rFonts w:ascii="Times New Roman;Times;serif" w:hAnsi="Times New Roman;Times;serif"/>
                  <w:b w:val="false"/>
                  <w:i w:val="false"/>
                  <w:caps w:val="false"/>
                  <w:smallCaps w:val="false"/>
                  <w:sz w:val="18"/>
                </w:rPr>
                <w:t>23. Foreign currency swaps and forwards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9765" w:type="dxa"/>
            <w:tcBorders/>
            <w:vAlign w:val="center"/>
          </w:tcPr>
          <w:p>
            <w:pPr>
              <w:pStyle w:val="TableContents"/>
              <w:bidi w:val="0"/>
              <w:spacing w:before="0" w:after="0"/>
              <w:ind w:left="0" w:right="0" w:hanging="0"/>
              <w:jc w:val="left"/>
              <w:rPr/>
            </w:pPr>
            <w:hyperlink w:anchor="a22Resultsofoperation_631021">
              <w:r>
                <w:rPr>
                  <w:rStyle w:val="InternetLink"/>
                  <w:rFonts w:ascii="Times New Roman;Times;serif" w:hAnsi="Times New Roman;Times;serif"/>
                  <w:b w:val="false"/>
                  <w:i w:val="false"/>
                  <w:caps w:val="false"/>
                  <w:smallCaps w:val="false"/>
                  <w:sz w:val="18"/>
                </w:rPr>
                <w:t>24. Results of operation</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w:t>
            </w:r>
          </w:p>
        </w:tc>
      </w:tr>
      <w:tr>
        <w:trPr/>
        <w:tc>
          <w:tcPr>
            <w:tcW w:w="9765" w:type="dxa"/>
            <w:tcBorders/>
            <w:vAlign w:val="center"/>
          </w:tcPr>
          <w:p>
            <w:pPr>
              <w:pStyle w:val="TableContents"/>
              <w:bidi w:val="0"/>
              <w:spacing w:before="0" w:after="0"/>
              <w:ind w:left="0" w:right="0" w:hanging="0"/>
              <w:jc w:val="left"/>
              <w:rPr/>
            </w:pPr>
            <w:hyperlink w:anchor="a23Employeebenefits_364241">
              <w:r>
                <w:rPr>
                  <w:rStyle w:val="InternetLink"/>
                  <w:rFonts w:ascii="Times New Roman;Times;serif" w:hAnsi="Times New Roman;Times;serif"/>
                  <w:b w:val="false"/>
                  <w:i w:val="false"/>
                  <w:caps w:val="false"/>
                  <w:smallCaps w:val="false"/>
                  <w:sz w:val="18"/>
                </w:rPr>
                <w:t>25. Employee benefits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9765" w:type="dxa"/>
            <w:tcBorders/>
            <w:vAlign w:val="center"/>
          </w:tcPr>
          <w:p>
            <w:pPr>
              <w:pStyle w:val="TableContents"/>
              <w:bidi w:val="0"/>
              <w:spacing w:before="0" w:after="0"/>
              <w:ind w:left="0" w:right="0" w:hanging="0"/>
              <w:jc w:val="left"/>
              <w:rPr/>
            </w:pPr>
            <w:hyperlink w:anchor="a24Financialincome_866865">
              <w:r>
                <w:rPr>
                  <w:rStyle w:val="InternetLink"/>
                  <w:rFonts w:ascii="Times New Roman;Times;serif" w:hAnsi="Times New Roman;Times;serif"/>
                  <w:b w:val="false"/>
                  <w:i w:val="false"/>
                  <w:caps w:val="false"/>
                  <w:smallCaps w:val="false"/>
                  <w:sz w:val="18"/>
                </w:rPr>
                <w:t>26. Financial income</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w:t>
            </w:r>
          </w:p>
        </w:tc>
      </w:tr>
      <w:tr>
        <w:trPr/>
        <w:tc>
          <w:tcPr>
            <w:tcW w:w="9765" w:type="dxa"/>
            <w:tcBorders/>
            <w:vAlign w:val="center"/>
          </w:tcPr>
          <w:p>
            <w:pPr>
              <w:pStyle w:val="TableContents"/>
              <w:bidi w:val="0"/>
              <w:spacing w:before="0" w:after="0"/>
              <w:ind w:left="0" w:right="0" w:hanging="0"/>
              <w:jc w:val="left"/>
              <w:rPr/>
            </w:pPr>
            <w:hyperlink w:anchor="a25Financialexpense_303101">
              <w:r>
                <w:rPr>
                  <w:rStyle w:val="InternetLink"/>
                  <w:rFonts w:ascii="Times New Roman;Times;serif" w:hAnsi="Times New Roman;Times;serif"/>
                  <w:b w:val="false"/>
                  <w:i w:val="false"/>
                  <w:caps w:val="false"/>
                  <w:smallCaps w:val="false"/>
                  <w:sz w:val="18"/>
                </w:rPr>
                <w:t>27. Financial expense</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r>
      <w:tr>
        <w:trPr/>
        <w:tc>
          <w:tcPr>
            <w:tcW w:w="9765" w:type="dxa"/>
            <w:tcBorders/>
            <w:vAlign w:val="center"/>
          </w:tcPr>
          <w:p>
            <w:pPr>
              <w:pStyle w:val="TableContents"/>
              <w:bidi w:val="0"/>
              <w:spacing w:before="0" w:after="0"/>
              <w:ind w:left="0" w:right="0" w:hanging="0"/>
              <w:jc w:val="left"/>
              <w:rPr/>
            </w:pPr>
            <w:hyperlink w:anchor="a26LossPerShareEPS_240302">
              <w:r>
                <w:rPr>
                  <w:rStyle w:val="InternetLink"/>
                  <w:rFonts w:ascii="Times New Roman;Times;serif" w:hAnsi="Times New Roman;Times;serif"/>
                  <w:b w:val="false"/>
                  <w:i w:val="false"/>
                  <w:caps w:val="false"/>
                  <w:smallCaps w:val="false"/>
                  <w:sz w:val="18"/>
                </w:rPr>
                <w:t>28. Earnings/(Loss) Per Share (EPS)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w:t>
            </w:r>
          </w:p>
        </w:tc>
      </w:tr>
      <w:tr>
        <w:trPr/>
        <w:tc>
          <w:tcPr>
            <w:tcW w:w="9765" w:type="dxa"/>
            <w:tcBorders/>
            <w:vAlign w:val="center"/>
          </w:tcPr>
          <w:p>
            <w:pPr>
              <w:pStyle w:val="TableContents"/>
              <w:bidi w:val="0"/>
              <w:spacing w:before="0" w:after="0"/>
              <w:ind w:left="0" w:right="0" w:hanging="0"/>
              <w:jc w:val="left"/>
              <w:rPr/>
            </w:pPr>
            <w:hyperlink w:anchor="a27Othercommitments_147572">
              <w:r>
                <w:rPr>
                  <w:rStyle w:val="InternetLink"/>
                  <w:rFonts w:ascii="Times New Roman;Times;serif" w:hAnsi="Times New Roman;Times;serif"/>
                  <w:b w:val="false"/>
                  <w:i w:val="false"/>
                  <w:caps w:val="false"/>
                  <w:smallCaps w:val="false"/>
                  <w:sz w:val="18"/>
                </w:rPr>
                <w:t>29. Other commitments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r>
      <w:tr>
        <w:trPr/>
        <w:tc>
          <w:tcPr>
            <w:tcW w:w="9765" w:type="dxa"/>
            <w:tcBorders/>
            <w:vAlign w:val="center"/>
          </w:tcPr>
          <w:p>
            <w:pPr>
              <w:pStyle w:val="TableContents"/>
              <w:bidi w:val="0"/>
              <w:spacing w:before="0" w:after="0"/>
              <w:ind w:left="0" w:right="0" w:hanging="0"/>
              <w:jc w:val="left"/>
              <w:rPr/>
            </w:pPr>
            <w:hyperlink w:anchor="a28RelatedPartyTransactions_914488">
              <w:r>
                <w:rPr>
                  <w:rStyle w:val="InternetLink"/>
                  <w:rFonts w:ascii="Times New Roman;Times;serif" w:hAnsi="Times New Roman;Times;serif"/>
                  <w:b w:val="false"/>
                  <w:i w:val="false"/>
                  <w:caps w:val="false"/>
                  <w:smallCaps w:val="false"/>
                  <w:sz w:val="18"/>
                </w:rPr>
                <w:t>30. Related Party Transactions</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w:t>
            </w:r>
          </w:p>
        </w:tc>
      </w:tr>
      <w:tr>
        <w:trPr/>
        <w:tc>
          <w:tcPr>
            <w:tcW w:w="9765" w:type="dxa"/>
            <w:tcBorders/>
            <w:vAlign w:val="center"/>
          </w:tcPr>
          <w:p>
            <w:pPr>
              <w:pStyle w:val="TableContents"/>
              <w:bidi w:val="0"/>
              <w:spacing w:before="0" w:after="0"/>
              <w:ind w:left="0" w:right="0" w:hanging="0"/>
              <w:jc w:val="left"/>
              <w:rPr/>
            </w:pPr>
            <w:hyperlink w:anchor="a29EventsaftertheBalanceSheetDate_554749">
              <w:r>
                <w:rPr>
                  <w:rStyle w:val="InternetLink"/>
                  <w:rFonts w:ascii="Times New Roman;Times;serif" w:hAnsi="Times New Roman;Times;serif"/>
                  <w:b w:val="false"/>
                  <w:i w:val="false"/>
                  <w:caps w:val="false"/>
                  <w:smallCaps w:val="false"/>
                  <w:sz w:val="18"/>
                </w:rPr>
                <w:t>31. Events after the Balance-Sheet Date</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w:t>
            </w:r>
          </w:p>
        </w:tc>
      </w:tr>
      <w:tr>
        <w:trPr/>
        <w:tc>
          <w:tcPr>
            <w:tcW w:w="9765" w:type="dxa"/>
            <w:tcBorders/>
            <w:vAlign w:val="center"/>
          </w:tcPr>
          <w:p>
            <w:pPr>
              <w:pStyle w:val="TableContents"/>
              <w:bidi w:val="0"/>
              <w:spacing w:before="0" w:after="0"/>
              <w:ind w:left="0" w:right="0" w:hanging="0"/>
              <w:jc w:val="left"/>
              <w:rPr/>
            </w:pPr>
            <w:hyperlink w:anchor="RESPONSIBILITYSTATEMENT_369043">
              <w:r>
                <w:rPr>
                  <w:rStyle w:val="InternetLink"/>
                  <w:rFonts w:ascii="Times New Roman;Times;serif" w:hAnsi="Times New Roman;Times;serif"/>
                  <w:b w:val="false"/>
                  <w:i w:val="false"/>
                  <w:caps w:val="false"/>
                  <w:smallCaps w:val="false"/>
                  <w:sz w:val="18"/>
                </w:rPr>
                <w:t>Responsibility statement</w:t>
              </w:r>
            </w:hyperlink>
          </w:p>
        </w:tc>
        <w:tc>
          <w:tcPr>
            <w:tcW w:w="109" w:type="dxa"/>
            <w:tcBorders/>
            <w:vAlign w:val="center"/>
          </w:tcPr>
          <w:p>
            <w:pPr>
              <w:pStyle w:val="TableContents"/>
              <w:bidi w:val="0"/>
              <w:spacing w:before="0" w:after="0"/>
              <w:ind w:left="0" w:right="0" w:hanging="0"/>
              <w:jc w:val="left"/>
              <w:rPr/>
            </w:pPr>
            <w:r>
              <w:rPr/>
              <w:t>​</w:t>
            </w:r>
          </w:p>
        </w:tc>
        <w:tc>
          <w:tcPr>
            <w:tcW w:w="33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2" w:name="INTERIMFINANCIALREPORT_905753"/>
      <w:bookmarkStart w:id="13" w:name="_599c636b_99a2_469b_94b9_b344d74c4ec7"/>
      <w:bookmarkEnd w:id="12"/>
      <w:bookmarkEnd w:id="13"/>
      <w:r>
        <w:rPr>
          <w:rFonts w:ascii="Times New Roman;Times;serif" w:hAnsi="Times New Roman;Times;serif"/>
          <w:b/>
          <w:sz w:val="20"/>
        </w:rPr>
        <w:t>INTERIM FINANCIAL REPORT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FIRST HALF 2026</w:t>
      </w:r>
    </w:p>
    <w:p>
      <w:pPr>
        <w:pStyle w:val="TextBody"/>
        <w:bidi w:val="0"/>
        <w:spacing w:before="0" w:after="240"/>
        <w:ind w:left="0" w:right="0" w:hanging="0"/>
        <w:jc w:val="left"/>
        <w:rPr>
          <w:rFonts w:ascii="Times New Roman;Times;serif" w:hAnsi="Times New Roman;Times;serif"/>
          <w:b/>
          <w:sz w:val="20"/>
        </w:rPr>
      </w:pPr>
      <w:bookmarkStart w:id="14" w:name="a1BUSINESSUPDATE_54409"/>
      <w:bookmarkEnd w:id="14"/>
      <w:r>
        <w:rPr>
          <w:rFonts w:ascii="Times New Roman;Times;serif" w:hAnsi="Times New Roman;Times;serif"/>
          <w:b/>
          <w:i w:val="false"/>
          <w:caps w:val="false"/>
          <w:smallCaps w:val="false"/>
          <w:sz w:val="20"/>
        </w:rPr>
        <w:t>1.</w:t>
      </w:r>
      <w:r>
        <w:rPr>
          <w:rFonts w:ascii="Times New Roman;Times;serif" w:hAnsi="Times New Roman;Times;serif"/>
          <w:b/>
          <w:sz w:val="20"/>
        </w:rPr>
        <w:t>BUSINESS UPDATE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CLINICAL UPDATE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DREAM US: IDE PIVOTAL STUDY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Nyxoah initiated its pivotal DREAM IDE trial in the United States in December 2020 to support an application seeking FDA marketing authorization and, ultimately, reimbursement in the U.S. for bilateral hypoglossal nerve stimulation for the treatment of moderate-to-severe obstructive sleep apnea (“OSA”). The DREAM trial is a multicenter, prospective, open-label trial in which patients who undergo implantation of the Genio system will be followed for five years post-implantation to assess the safety and efficacy of the Genio system in patients with moderate-to-severe OSA.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trial was initially expected to enroll 134 patients who will undergo the implantation procedure with 12-month effectiveness and safety primary endpoints across 18 centers in the United States and six international sites. In April 2022, the FDA approved the Company’s request to reduce the trial’s sample size to 115 patients from 134 after reviewing data from the BETTER SLEEP trial.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primary safety endpoint is incidence of device-related severe adverse events (“SAEs”) at 12-months post implantation. The co-primary effectiveness endpoints are the percentage of responders with at least a 50% reduction on the apnea-hypopnea index (“AHI”) with hypopneas associated with a 4% oxyhemoglobin desaturation and a remaining AHI with hypopneas associated with a 4% oxyhemoglobin desaturation less than 20, and a 25% reduction on the oxygen desaturation index (“ODI”) between baseline and 12-month visits. Patients with moderate to severe OSA (AHI score between 15 and 65) and aged between 22 and 75 years are eligible for enrolment if they failed, did not tolerate or refused positive airway pressure (“PAP”) treatment. Patients with a body mass index above 32 kg/m2, a complete concentric collapse (“CCC”) observed during a drug induced sleep endoscopy and combined central and mixed AHI above 25% at baseline polysomnography are to be excluded.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19th, 2024, the Company reported the DREAM study met its primary endpoints on an intent-to-treat (ITT) basis, with an Apnea-Hypopnea Index (AHI) responder rate of 63.5% (p=0.002) and an Oxygen Desaturation Index (ODI) responder rate of 71.3% (p&lt;0.001). Additionally, the study demonstrated a median 12-month AHI reduction of 70.8%. There were 11 serious adverse events, or SAEs, in ten subjects resulting in an SAE rate of 8.7%. Out of the 11 SAEs, three were device related and there were three explants. The Company filed the fourth and final module of the modular premarket approval (PMA) application at the end of the second quarter 2024 and received FDA approval on August 8, 2025.</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ACCCESS U.S. IDE STUDY SEEKING APPROVAL TO TREAT CCC PATIENTS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In the United States, supported by the BETTER SLEEP study data, the FDA in September 2021 granted Breakthrough Device Designation for the Genio system in order to shorten the approval path to treat CCC patients. Following a series of sprint discussions with the FDA regarding the design of a trial called ACCCESS to assess the safety and efficacy of the Genio system on CCC patients, the FDA approved the Company’s IDE application in July 2022.</w:t>
      </w:r>
    </w:p>
    <w:p>
      <w:pPr>
        <w:pStyle w:val="TextBody"/>
        <w:bidi w:val="0"/>
        <w:spacing w:before="0" w:after="200"/>
        <w:ind w:left="0" w:right="0" w:hanging="0"/>
        <w:jc w:val="both"/>
        <w:rPr>
          <w:rFonts w:ascii="Times New Roman;Times;serif" w:hAnsi="Times New Roman;Times;serif"/>
          <w:b w:val="false"/>
          <w:sz w:val="20"/>
        </w:rPr>
      </w:pPr>
      <w:r>
        <w:rPr>
          <w:rFonts w:ascii="Times New Roman;Times;serif" w:hAnsi="Times New Roman;Times;serif"/>
          <w:b w:val="false"/>
          <w:sz w:val="20"/>
        </w:rPr>
        <w:t>In this study, Nyxoah initially intended to implant up to 106 patients across up to 40 implant sites with co-primary efficacy endpoints of AHI responder rate, per the Sher criteria, and ODI responder rate, both assessed at 12 months post-implant. However, in the meantime, as announced on August 11, 2025, the Company closed patient enrolment in this study prior to enrolling all 106 potential patients. The study will continue with the patients already enrolled, with said co-primary endpoints assessed at 12 months post implant and followed for five years. The Company closed enrolment prior to reaching 106 patients as it believes that the patient population already enrolled in the study will provide statistically significant results, which along with the outcomes from prior clinical evidence, will provide meaningful data with respect to the safety and efficacy of using Genio therapy in the patient population suffering from CCC.</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i/>
          <w:sz w:val="20"/>
        </w:rPr>
        <w:t>B.</w:t>
      </w:r>
      <w:r>
        <w:rPr>
          <w:rFonts w:ascii="Times New Roman;Times;serif" w:hAnsi="Times New Roman;Times;serif"/>
          <w:b/>
          <w:i/>
          <w:caps/>
          <w:sz w:val="20"/>
        </w:rPr>
        <w:t>COMMERCIALIZATION outside U.S.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During the first half of 2026, Nyxoah recognized net revenue of €4.6 million, primarily in Germany, which amounted to €2.6 million. After securing DRG reimbursement in Germany during the first quarter of 2021, Nyxoah built and expanded its German commercial organization to a total of 13 fulltime employees as of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Nyxoah’s commercial strategy is focused on creating a Center of Excellence ecosystem, with a high level of clinical expertise between implanting ENT surgeons and sleep physicians who can provide more treatment options to their large patient pools.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has also focused on entering new international markets:</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secured DRG reimbursement in Switzerland in 2021 and generated regular revenue ever since.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Q4 2024, the Company entered the SSDP (Specialised Services Devices Program) with the NHS in the UK and generated its first revenue that same quarter.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Q1 2025, the Company initiated commercialization in the Middle East region through a distributor agreement and generated its first revenue in Dubai that same quarter. In Q2 2025, the Company generated its first revenue in Kuwait and Abu Dhabi.</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Q4 2025, Nyxoah initiated commercialisation and generated first revenues in the Netherlands.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Nyxoah has also generated revenue in Austria, Spain and Italy and the Company expects to expand into other European countries and Middle East markets, pending feedback on submitted reimbursement dossiers.</w:t>
      </w:r>
    </w:p>
    <w:p>
      <w:pPr>
        <w:pStyle w:val="TextBody"/>
        <w:bidi w:val="0"/>
        <w:spacing w:before="0" w:after="200"/>
        <w:ind w:left="0" w:right="0" w:hanging="0"/>
        <w:jc w:val="left"/>
        <w:rPr>
          <w:rFonts w:ascii="Times New Roman;Times;serif" w:hAnsi="Times New Roman;Times;serif"/>
          <w:b/>
          <w:i/>
          <w:caps/>
          <w:sz w:val="20"/>
        </w:rPr>
      </w:pPr>
      <w:r>
        <w:rPr>
          <w:rFonts w:ascii="Times New Roman;Times;serif" w:hAnsi="Times New Roman;Times;serif"/>
          <w:b/>
          <w:i/>
          <w:caps/>
          <w:sz w:val="20"/>
        </w:rPr>
        <w:t>C.FDA PMA APPROVAL AND US COMMERCIALIZATION</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On August 8, 2025, the U.S. Food and Drug Administration (FDA) approved the Genio system for a subset of patients with moderate to severe OSA with an Apnea-Hypopnea Index (AHI) of greater than or equal to 15 and less than or equal to 65. The Company immediately commenced U.S. commercialization with a phased rollout at early-adopter centres, onboarding sites, shipping initial systems to hospitals/ambulatory surgery centres, and completing surgeon training. During the first half of 2026, the Company recognized net revenue of €9.5 million from sales in the U.S. As part of the FDA PMA approval, the Company will complete a post-PMA approval clinical study named BREATHE which is expected to enrol 229 patients (with a minimum of 160 evaluable patients).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 w:name="a2FINANCIALHIGHLIGHTS_380413"/>
      <w:bookmarkStart w:id="16" w:name="_e1e17a6f_502f_4630_be1e_2ff216655dd0"/>
      <w:bookmarkEnd w:id="15"/>
      <w:bookmarkEnd w:id="16"/>
      <w:r>
        <w:rPr>
          <w:rFonts w:ascii="Times New Roman;Times;serif" w:hAnsi="Times New Roman;Times;serif"/>
          <w:b/>
          <w:i w:val="false"/>
          <w:caps w:val="false"/>
          <w:smallCaps w:val="false"/>
          <w:sz w:val="20"/>
        </w:rPr>
        <w:t>2.</w:t>
      </w:r>
      <w:r>
        <w:rPr>
          <w:rFonts w:ascii="Times New Roman;Times;serif" w:hAnsi="Times New Roman;Times;serif"/>
          <w:b/>
          <w:sz w:val="20"/>
        </w:rPr>
        <w:t>FINANCIAL HIGHLIGHTS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was €14.0 million for the six months ended June 30, 2026, compared to €2.4 million for the six months ending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goods sold was €5.8 million for the six months ended June 30, 2026, compared to €0.9 million cost for the six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increased by €7.9 million or 34.4 % from €23.1 million for the six months ended June 30, 2025 to €31.0 million for the six months ended June 30, 2026, due to an increase in costs to support the commercialization of the Genio system following FDA approval in August 2025 and an increase in legal costs related to IP litigation.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decreased by €0.7 million or 3.7 %, from €19.0 million for the six months ended June 30, 2025, to €18.4 million for the six months ended June 30, 2026. The decrease is mainly due to a decrease in clinical study expenses and in R&amp;D activities. Additionally, following FDA approval in August 2025, the amortization of the related intangible assets commenced leading to an increase in depreciation and amortization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Nyxoah realized a net negative financial result of €7.0 million for the six months ended June 30, 2026 primarily driven by a €5.4 million loss on the change in fair value of the convertible bond and synthetic warrant liabilities and by the amortization of the day 1 loss on the Company’s currently outstanding convertible bond for an amount of €1.5 million. This compares to a net negative financial result of €2.1 million for the six months ended June 30, 2025.</w:t>
      </w:r>
    </w:p>
    <w:p>
      <w:pPr>
        <w:pStyle w:val="TextBody"/>
        <w:bidi w:val="0"/>
        <w:spacing w:before="0" w:after="240"/>
        <w:ind w:left="0" w:right="0" w:hanging="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Nyxoah realized a net loss of €48.9 million for the six months ended June 30, 2026, compared to a net loss of €43.0 million for the six months ended June 30,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Cash and cash equivalents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30, 2026, cash and cash equivalents and financial assets totaled €97.8 million, compared to €48.0 million on December 31, 2025. The increase in financial assets is due to an equity raise completed in the second quarter of 2026 and the draw down of the second tranche of the Company’s term loan facility.</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7" w:name="a32022OUTLOOK_702979"/>
      <w:bookmarkStart w:id="18" w:name="_59d59284_dc79_4a60_a85f_512a34573936"/>
      <w:bookmarkEnd w:id="17"/>
      <w:bookmarkEnd w:id="18"/>
      <w:r>
        <w:rPr>
          <w:rFonts w:ascii="Times New Roman;Times;serif" w:hAnsi="Times New Roman;Times;serif"/>
          <w:b/>
          <w:i w:val="false"/>
          <w:caps w:val="false"/>
          <w:smallCaps w:val="false"/>
          <w:sz w:val="20"/>
        </w:rPr>
        <w:t>3.</w:t>
      </w:r>
      <w:r>
        <w:rPr>
          <w:rFonts w:ascii="Times New Roman;Times;serif" w:hAnsi="Times New Roman;Times;serif"/>
          <w:b/>
          <w:sz w:val="20"/>
        </w:rPr>
        <w:t>2026 OUTLOOK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expects to continue ramping up sales primarily in the United States. In markets where we are already present such as Germany, Switzerland, the United Kingdom and the Middle East, and in other select international markets, we strive for further growth subject to the receipt of favourable reimbursement for the Company’s product in those markets.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9" w:name="a4RISKFACTORS_312917"/>
      <w:bookmarkStart w:id="20" w:name="_bf79884e_ea60_4d9b_a047_8e2a9b79e616"/>
      <w:bookmarkEnd w:id="19"/>
      <w:bookmarkEnd w:id="20"/>
      <w:r>
        <w:rPr>
          <w:rFonts w:ascii="Times New Roman;Times;serif" w:hAnsi="Times New Roman;Times;serif"/>
          <w:b/>
          <w:i w:val="false"/>
          <w:caps w:val="false"/>
          <w:smallCaps w:val="false"/>
          <w:sz w:val="20"/>
        </w:rPr>
        <w:t>4.</w:t>
      </w:r>
      <w:r>
        <w:rPr>
          <w:rFonts w:ascii="Times New Roman;Times;serif" w:hAnsi="Times New Roman;Times;serif"/>
          <w:b/>
          <w:sz w:val="20"/>
        </w:rPr>
        <w:t>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refer to the description of risk factors in the Company’s 2025 annual report, pp. 81-101. In summary, the principal risks and uncertainties faced by us relate to our financial situation and need for additional capital, clinical development of our product candidates, commercialization and reimbursement of our product candidates, our dependence on third parties and on key personnel, the markets and countries in which we operate, the manufacturing of our product candidates, legal and regulatory compliance matters, our intellectual property, the outcome of intellectual property litigation, our organization and operations.</w:t>
      </w:r>
    </w:p>
    <w:p>
      <w:pPr>
        <w:pStyle w:val="TextBody"/>
        <w:bidi w:val="0"/>
        <w:spacing w:before="0" w:after="240"/>
        <w:ind w:left="0" w:right="0" w:hanging="0"/>
        <w:jc w:val="left"/>
        <w:rPr>
          <w:rFonts w:ascii="Times New Roman;Times;serif" w:hAnsi="Times New Roman;Times;serif"/>
          <w:b/>
          <w:sz w:val="20"/>
        </w:rPr>
      </w:pPr>
      <w:bookmarkStart w:id="21" w:name="a5FORWARDLOOKINGSTATEMENTS_268290"/>
      <w:bookmarkStart w:id="22" w:name="_db1dc5b1_369a_49d9_b536_0b075eed7880"/>
      <w:bookmarkEnd w:id="21"/>
      <w:bookmarkEnd w:id="22"/>
      <w:r>
        <w:rPr>
          <w:rFonts w:ascii="Times New Roman;Times;serif" w:hAnsi="Times New Roman;Times;serif"/>
          <w:b/>
          <w:i w:val="false"/>
          <w:caps w:val="false"/>
          <w:smallCaps w:val="false"/>
          <w:sz w:val="20"/>
        </w:rPr>
        <w:t>5.</w:t>
      </w:r>
      <w:r>
        <w:rPr>
          <w:rFonts w:ascii="Times New Roman;Times;serif" w:hAnsi="Times New Roman;Times;serif"/>
          <w:b/>
          <w:sz w:val="20"/>
        </w:rPr>
        <w:t>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interim management report contains forward-looking statements. All statements other than present and historical facts and conditions contained in this report, including statements regarding our future results of operations and financial position, business strategy, plans and our objectives for future operations, are forward-looking statements. When used in this report, the words “anticipate,” “believe,” “can,” “could,” “estimate,” “expect,” “intend,” “is designed to,” “may,” “might,” “plan,” “potential,” “predict,” “objective,” “should,” or the negative of these and similar expressions identify forward-looking statements. By their nature, forward-looking statements involve risks and uncertainties, and readers are cautioned that any such forward-looking statements are not guarantees of future performance. Nyxoah’s actual results may differ materially from those predicted by the forward-looking statements as a result of various important factors, including Nyxoah’s expectations regarding the inherent uncertainties associated with competitive developments, clinical trial and product development activities, regulatory approval requirements; Nyxoah’s reliance on collaborations with third parties; estimating the commercial potential of Nyxoah’s product candidates; Nyxoah’s ability to obtain and maintain protection of intellectual property for its technologies; the outcome of any intellectual property litigation; Nyxoah’s limited operating history; and Nyxoah’s ability to obtain additional funding for operations and to complete the development and commercialization of its product candidates. A further list and description of these risks, uncertainties and other risks can be found in Nyxoah’s 2025 annual report. Given these uncertainties, the reader is advised not to place any undue reliance on such forward-looking statements. These forward-looking statements speak only as of the date of publication of this document. Nyxoah expressly disclaims any obligation to update any such forward-looking statements in this document, to reflect any change in our expectations with regard thereto or any change in events, conditions or circumstances on which any such statement is based or that may affect the likelihood that actual results will differ from those set forth in the forward-looking statements, unless specifically required by applicable law or regulation.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3" w:name="_2c9262e3_f3cd_4a0f_97fd_5fab0f1cab19"/>
      <w:bookmarkEnd w:id="23"/>
      <w:r>
        <w:rPr>
          <w:rFonts w:ascii="Times New Roman;Times;serif" w:hAnsi="Times New Roman;Times;serif"/>
          <w:b/>
          <w:sz w:val="20"/>
        </w:rPr>
        <w:t>NYXOAH SA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INTERIM FINANCIAL INFORMATION AS AT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2026 –</w:t>
      </w:r>
    </w:p>
    <w:p>
      <w:pPr>
        <w:pStyle w:val="TextBody"/>
        <w:bidi w:val="0"/>
        <w:spacing w:before="0" w:after="0"/>
        <w:ind w:left="0" w:right="0" w:hanging="0"/>
        <w:jc w:val="center"/>
        <w:rPr>
          <w:rFonts w:ascii="Times New Roman;Times;serif" w:hAnsi="Times New Roman;Times;serif"/>
          <w:b/>
          <w:sz w:val="20"/>
        </w:rPr>
      </w:pPr>
      <w:bookmarkStart w:id="24" w:name="INTERIMCONSOLIDATEDSTATEMENTOFFINANCIALP"/>
      <w:bookmarkEnd w:id="24"/>
      <w:r>
        <w:rPr>
          <w:rFonts w:ascii="Times New Roman;Times;serif" w:hAnsi="Times New Roman;Times;serif"/>
          <w:b/>
          <w:sz w:val="20"/>
        </w:rPr>
        <w:t>INTERIM CONSOLIDATED STATEMENT OF FINANCIAL POSITION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5" w:name="Tc_CmgyJYYcBEaVy-_UIM7f-Q_50_7"/>
      <w:bookmarkStart w:id="26" w:name="Tc_aT1AeKTIu0qTkzxN6SYCZQ_50_4"/>
      <w:bookmarkStart w:id="27" w:name="Tc_8phTWusNskq533CZUy-KnQ_50_0"/>
      <w:bookmarkStart w:id="28" w:name="Tc_WdLOQMV_RUyVYQq3SDtiQg_49_7"/>
      <w:bookmarkStart w:id="29" w:name="Tc_fNU_LS_voEmqC_5OlgV05w_49_4"/>
      <w:bookmarkStart w:id="30" w:name="Tc_ayUcfYMFNEm70kstl_yBew_49_0"/>
      <w:bookmarkStart w:id="31" w:name="Tc_TCQNXnmlaUuFye7cR5xjHw_48_7"/>
      <w:bookmarkStart w:id="32" w:name="Tc_BmSrH9mc0UWZ0oTZxx4-4Q_48_4"/>
      <w:bookmarkStart w:id="33" w:name="Tc_YcLIoX8WMEiLRrVaT9oaug_47_2"/>
      <w:bookmarkStart w:id="34" w:name="Tc_KGB6wndv3UW-_-VSvMZOsw_47_0"/>
      <w:bookmarkStart w:id="35" w:name="Tc_5PRbWYrRHkGaEQhNCeTfrA_46_2"/>
      <w:bookmarkStart w:id="36" w:name="Tc_28fmmJvwyUKx39bojAq8TA_46_0"/>
      <w:bookmarkStart w:id="37" w:name="Tc_jMn6werwQkiu-pua9v_ddQ_45_2"/>
      <w:bookmarkStart w:id="38" w:name="Tc_6D3rMokwP0-M_8Qu_QPhrQ_45_0"/>
      <w:bookmarkStart w:id="39" w:name="Tc_Ij-Zxbz95EeF3Qn-kB_F7Q_44_2"/>
      <w:bookmarkStart w:id="40" w:name="Tc_IipnwB9qvkCn0yZpf8-UZQ_44_0"/>
      <w:bookmarkStart w:id="41" w:name="Tc_kgvx4zDziUmKr02UxHnz4w_43_2"/>
      <w:bookmarkStart w:id="42" w:name="Tc_REjUoDQOM0CDcS1zbVIqgw_43_0"/>
      <w:bookmarkStart w:id="43" w:name="Tc_kv-xsCM_OUCzpbR1MG1Gsw_42_2"/>
      <w:bookmarkStart w:id="44" w:name="Tc_B_DB9rWTLE2lpf0cb520QA_42_0"/>
      <w:bookmarkStart w:id="45" w:name="Tc_s2ZsyI-NFECS2OPiWQeRdA_41_0"/>
      <w:bookmarkStart w:id="46" w:name="Tc_jW54xCSXPECtsKRkNZN-Bg_39_7"/>
      <w:bookmarkStart w:id="47" w:name="Tc_ysWmK1KChEaw-av_Q27S_g_39_4"/>
      <w:bookmarkStart w:id="48" w:name="Tc_nJEHSzNleE6AcN24nNjf6w_38_2"/>
      <w:bookmarkStart w:id="49" w:name="Tc_pIS2s3dPSUqE1Fp-ZvGWRA_38_0"/>
      <w:bookmarkStart w:id="50" w:name="Tc_qCXz8lCxskmf4iSz6FfmDg_37_8"/>
      <w:bookmarkStart w:id="51" w:name="Tc_WkjwSrzU_0ifBTLAJzrWng_37_0"/>
      <w:bookmarkStart w:id="52" w:name="Tc_-24ffWih8EO-m7Awfdf81Q_36_2"/>
      <w:bookmarkStart w:id="53" w:name="Tc_9eQQA9EloUCi8VpjPZegFA_36_0"/>
      <w:bookmarkStart w:id="54" w:name="Tc_ua_rh5I3WUG953G1jxccFg_35_2"/>
      <w:bookmarkStart w:id="55" w:name="Tc_9FzZWCfHWkKJbF5G8U_FyA_35_0"/>
      <w:bookmarkStart w:id="56" w:name="Tc_FyBUgLUj2EO9HBuRh_67yQ_34_2"/>
      <w:bookmarkStart w:id="57" w:name="Tc_88YLdJkQ50u04mApIpC_VA_34_0"/>
      <w:bookmarkStart w:id="58" w:name="Tc_qKAzuwcifkOsFNnVl78t2A_33_0"/>
      <w:bookmarkStart w:id="59" w:name="Tc_E_CptXr1cEeAnqsG1uzuhw_32_0"/>
      <w:bookmarkStart w:id="60" w:name="Tc_4lzk-GQLa026qgQUY-29Kg_30_7"/>
      <w:bookmarkStart w:id="61" w:name="Tc_pddIJXo2oU2Dz0vYdZ2RSw_30_4"/>
      <w:bookmarkStart w:id="62" w:name="Tc_XmKqLW_kq0eNUpy6jOCVCw_30_0"/>
      <w:bookmarkStart w:id="63" w:name="Tc_tn2r-JGyA0iY2haWl32Tkw_29_0"/>
      <w:bookmarkStart w:id="64" w:name="Tc_zJEyqas740y8_YlmBCDO9g_28_2"/>
      <w:bookmarkStart w:id="65" w:name="Tc_BCQ9KWWfAUWYqJRpG2WkAA_28_0"/>
      <w:bookmarkStart w:id="66" w:name="Tc_wDCE5Z_HEUewZhr7iF9Zqw_27_2"/>
      <w:bookmarkStart w:id="67" w:name="Tc_j7m4rb_fCE6kJUbucM3gQw_27_0"/>
      <w:bookmarkStart w:id="68" w:name="Tc_t3SjFV0igk2XcTR0GtmbRg_26_2"/>
      <w:bookmarkStart w:id="69" w:name="Tc_6hUcg8iUB0OjzfhdeLX39Q_26_0"/>
      <w:bookmarkStart w:id="70" w:name="Tc_y3RAloJ0Q06M4n2Xku4kFQ_25_2"/>
      <w:bookmarkStart w:id="71" w:name="Tc_zfjRB-g-30Kpj_jziVp-Dw_25_0"/>
      <w:bookmarkStart w:id="72" w:name="Tc_DRzwiR6EVU2zf3afca7yqQ_24_0"/>
      <w:bookmarkStart w:id="73" w:name="Tc_ofvblvtbzEG-Wn-e0Z_AIg_23_0"/>
      <w:bookmarkStart w:id="74" w:name="Tc_0AZnEskTRkyWSuVTsiDtsg_21_7"/>
      <w:bookmarkStart w:id="75" w:name="Tc_0xgqT6jdHEOgHilF_ygVew_21_4"/>
      <w:bookmarkStart w:id="76" w:name="Tc_pWhOdb0EnU6xeBe-TY6QWA_21_0"/>
      <w:bookmarkStart w:id="77" w:name="Tc_eEpDD8Bxn0Wkxk4-ofaWDg_20_7"/>
      <w:bookmarkStart w:id="78" w:name="Tc_IszQXygLFE28EPnJ_6OfNA_20_4"/>
      <w:bookmarkStart w:id="79" w:name="Tc_hbn7lJcyIU6uveNoa2ERbA_19_2"/>
      <w:bookmarkStart w:id="80" w:name="Tc_7NqtorI7d0ulpXX3N908Zg_19_0"/>
      <w:bookmarkStart w:id="81" w:name="Tc_CF-ZJPqwQUCLFPXMmHdZwg_18_2"/>
      <w:bookmarkStart w:id="82" w:name="Tc_WsokBLllXU2MMFywn6_v4w_18_0"/>
      <w:bookmarkStart w:id="83" w:name="Tc_wtBNHi7x2E6H7pjuLzzSyg_17_2"/>
      <w:bookmarkStart w:id="84" w:name="Tc_p9W3F7lXKk6Eo19t75pYjQ_17_0"/>
      <w:bookmarkStart w:id="85" w:name="Tc_As5dk-PuQEOzxJZ1-vX59Q_16_2"/>
      <w:bookmarkStart w:id="86" w:name="Tc_l1ZBhDjsSkKTcjfDNqoUlw_16_0"/>
      <w:bookmarkStart w:id="87" w:name="Tc_Hju04JMcHUGvcXXE_qInGw_15_2"/>
      <w:bookmarkStart w:id="88" w:name="Tc_9QsxiwKXpUalj8ClIXyhHA_15_0"/>
      <w:bookmarkStart w:id="89" w:name="Tc_8Ml-g0cb30aRjePIAJM8dA_14_2"/>
      <w:bookmarkStart w:id="90" w:name="Tc_v8FkfmNiEUSgorMptGGwlw_14_0"/>
      <w:bookmarkStart w:id="91" w:name="Tc_sbp6iYEkzUWegcXl7WHVGQ_13_2"/>
      <w:bookmarkStart w:id="92" w:name="Tc_2VQN-8lV1EavrAItHI7xEQ_13_0"/>
      <w:bookmarkStart w:id="93" w:name="Tc_cn94EnW8Z0mpStJeyBmf7Q_12_0"/>
      <w:bookmarkStart w:id="94" w:name="Tc_SV5hGubZl0qvD7IXbqibLg_11_7"/>
      <w:bookmarkStart w:id="95" w:name="Tc_-Jc9o2Sk5EmKlC2EgGl5mw_11_4"/>
      <w:bookmarkStart w:id="96" w:name="Tc_sk7c33oZk06fTF4nZysrUQ_10_2"/>
      <w:bookmarkStart w:id="97" w:name="Tc_iqYqKJnhJkWej-6ICC4deg_10_0"/>
      <w:bookmarkStart w:id="98" w:name="Tc_kTSB3I-ab0aEdtgmEkm1XQ_9_0"/>
      <w:bookmarkStart w:id="99" w:name="Tc_m9xzcT0of0qdjH7KUTkY3w_8_2"/>
      <w:bookmarkStart w:id="100" w:name="Tc_gleh12FSkkWceGi4ng60gg_8_0"/>
      <w:bookmarkStart w:id="101" w:name="Tc_A7gutYgzaU-Uwqxqnt2kdQ_7_2"/>
      <w:bookmarkStart w:id="102" w:name="Tc_do2ikDlij0a6k_2VumwEsA_7_0"/>
      <w:bookmarkStart w:id="103" w:name="Tc_XWkTweQnRU-LaQJdDNsOEw_6_2"/>
      <w:bookmarkStart w:id="104" w:name="Tc_shHcgn2zf0-tJ7BRsMHDdg_6_0"/>
      <w:bookmarkStart w:id="105" w:name="Tc_G9tmP2UtJkK1jlkeIafeKw_5_0"/>
      <w:bookmarkStart w:id="106" w:name="Tc_qXx3BXnhvECLSKG5vG9DAw_4_0"/>
      <w:bookmarkStart w:id="107" w:name="Tc_ZuzLDGVfA0apQ0ZDCodtMw_3_7"/>
      <w:bookmarkStart w:id="108" w:name="Tc_be15VJr0FE6X-DeYQWgBcg_3_4"/>
      <w:bookmarkStart w:id="109" w:name="Tc_E9EMmGHtWUS3er84P7T3YQ_3_2"/>
      <w:bookmarkStart w:id="110" w:name="Tc_uLlApx1z70mPcWEXe0CyIA_2_7"/>
      <w:bookmarkStart w:id="111" w:name="Tc__tDghQJND0mvRSkyz8PN5Q_2_4"/>
      <w:bookmarkStart w:id="112" w:name="Tc_SwG5WwoIGkGfXgG-F9j66Q_1_4"/>
      <w:bookmarkStart w:id="113" w:name="_64755d7d_072a_4725_a624_d1a6bbacf541"/>
      <w:bookmarkStart w:id="114" w:name="Tc_CmgyJYYcBEaVy-_UIM7f-Q_50_7"/>
      <w:bookmarkStart w:id="115" w:name="Tc_aT1AeKTIu0qTkzxN6SYCZQ_50_4"/>
      <w:bookmarkStart w:id="116" w:name="Tc_8phTWusNskq533CZUy-KnQ_50_0"/>
      <w:bookmarkStart w:id="117" w:name="Tc_WdLOQMV_RUyVYQq3SDtiQg_49_7"/>
      <w:bookmarkStart w:id="118" w:name="Tc_fNU_LS_voEmqC_5OlgV05w_49_4"/>
      <w:bookmarkStart w:id="119" w:name="Tc_ayUcfYMFNEm70kstl_yBew_49_0"/>
      <w:bookmarkStart w:id="120" w:name="Tc_TCQNXnmlaUuFye7cR5xjHw_48_7"/>
      <w:bookmarkStart w:id="121" w:name="Tc_BmSrH9mc0UWZ0oTZxx4-4Q_48_4"/>
      <w:bookmarkStart w:id="122" w:name="Tc_YcLIoX8WMEiLRrVaT9oaug_47_2"/>
      <w:bookmarkStart w:id="123" w:name="Tc_KGB6wndv3UW-_-VSvMZOsw_47_0"/>
      <w:bookmarkStart w:id="124" w:name="Tc_5PRbWYrRHkGaEQhNCeTfrA_46_2"/>
      <w:bookmarkStart w:id="125" w:name="Tc_28fmmJvwyUKx39bojAq8TA_46_0"/>
      <w:bookmarkStart w:id="126" w:name="Tc_jMn6werwQkiu-pua9v_ddQ_45_2"/>
      <w:bookmarkStart w:id="127" w:name="Tc_6D3rMokwP0-M_8Qu_QPhrQ_45_0"/>
      <w:bookmarkStart w:id="128" w:name="Tc_Ij-Zxbz95EeF3Qn-kB_F7Q_44_2"/>
      <w:bookmarkStart w:id="129" w:name="Tc_IipnwB9qvkCn0yZpf8-UZQ_44_0"/>
      <w:bookmarkStart w:id="130" w:name="Tc_kgvx4zDziUmKr02UxHnz4w_43_2"/>
      <w:bookmarkStart w:id="131" w:name="Tc_REjUoDQOM0CDcS1zbVIqgw_43_0"/>
      <w:bookmarkStart w:id="132" w:name="Tc_kv-xsCM_OUCzpbR1MG1Gsw_42_2"/>
      <w:bookmarkStart w:id="133" w:name="Tc_B_DB9rWTLE2lpf0cb520QA_42_0"/>
      <w:bookmarkStart w:id="134" w:name="Tc_s2ZsyI-NFECS2OPiWQeRdA_41_0"/>
      <w:bookmarkStart w:id="135" w:name="Tc_jW54xCSXPECtsKRkNZN-Bg_39_7"/>
      <w:bookmarkStart w:id="136" w:name="Tc_ysWmK1KChEaw-av_Q27S_g_39_4"/>
      <w:bookmarkStart w:id="137" w:name="Tc_nJEHSzNleE6AcN24nNjf6w_38_2"/>
      <w:bookmarkStart w:id="138" w:name="Tc_pIS2s3dPSUqE1Fp-ZvGWRA_38_0"/>
      <w:bookmarkStart w:id="139" w:name="Tc_qCXz8lCxskmf4iSz6FfmDg_37_8"/>
      <w:bookmarkStart w:id="140" w:name="Tc_WkjwSrzU_0ifBTLAJzrWng_37_0"/>
      <w:bookmarkStart w:id="141" w:name="Tc_-24ffWih8EO-m7Awfdf81Q_36_2"/>
      <w:bookmarkStart w:id="142" w:name="Tc_9eQQA9EloUCi8VpjPZegFA_36_0"/>
      <w:bookmarkStart w:id="143" w:name="Tc_ua_rh5I3WUG953G1jxccFg_35_2"/>
      <w:bookmarkStart w:id="144" w:name="Tc_9FzZWCfHWkKJbF5G8U_FyA_35_0"/>
      <w:bookmarkStart w:id="145" w:name="Tc_FyBUgLUj2EO9HBuRh_67yQ_34_2"/>
      <w:bookmarkStart w:id="146" w:name="Tc_88YLdJkQ50u04mApIpC_VA_34_0"/>
      <w:bookmarkStart w:id="147" w:name="Tc_qKAzuwcifkOsFNnVl78t2A_33_0"/>
      <w:bookmarkStart w:id="148" w:name="Tc_E_CptXr1cEeAnqsG1uzuhw_32_0"/>
      <w:bookmarkStart w:id="149" w:name="Tc_4lzk-GQLa026qgQUY-29Kg_30_7"/>
      <w:bookmarkStart w:id="150" w:name="Tc_pddIJXo2oU2Dz0vYdZ2RSw_30_4"/>
      <w:bookmarkStart w:id="151" w:name="Tc_XmKqLW_kq0eNUpy6jOCVCw_30_0"/>
      <w:bookmarkStart w:id="152" w:name="Tc_tn2r-JGyA0iY2haWl32Tkw_29_0"/>
      <w:bookmarkStart w:id="153" w:name="Tc_zJEyqas740y8_YlmBCDO9g_28_2"/>
      <w:bookmarkStart w:id="154" w:name="Tc_BCQ9KWWfAUWYqJRpG2WkAA_28_0"/>
      <w:bookmarkStart w:id="155" w:name="Tc_wDCE5Z_HEUewZhr7iF9Zqw_27_2"/>
      <w:bookmarkStart w:id="156" w:name="Tc_j7m4rb_fCE6kJUbucM3gQw_27_0"/>
      <w:bookmarkStart w:id="157" w:name="Tc_t3SjFV0igk2XcTR0GtmbRg_26_2"/>
      <w:bookmarkStart w:id="158" w:name="Tc_6hUcg8iUB0OjzfhdeLX39Q_26_0"/>
      <w:bookmarkStart w:id="159" w:name="Tc_y3RAloJ0Q06M4n2Xku4kFQ_25_2"/>
      <w:bookmarkStart w:id="160" w:name="Tc_zfjRB-g-30Kpj_jziVp-Dw_25_0"/>
      <w:bookmarkStart w:id="161" w:name="Tc_DRzwiR6EVU2zf3afca7yqQ_24_0"/>
      <w:bookmarkStart w:id="162" w:name="Tc_ofvblvtbzEG-Wn-e0Z_AIg_23_0"/>
      <w:bookmarkStart w:id="163" w:name="Tc_0AZnEskTRkyWSuVTsiDtsg_21_7"/>
      <w:bookmarkStart w:id="164" w:name="Tc_0xgqT6jdHEOgHilF_ygVew_21_4"/>
      <w:bookmarkStart w:id="165" w:name="Tc_pWhOdb0EnU6xeBe-TY6QWA_21_0"/>
      <w:bookmarkStart w:id="166" w:name="Tc_eEpDD8Bxn0Wkxk4-ofaWDg_20_7"/>
      <w:bookmarkStart w:id="167" w:name="Tc_IszQXygLFE28EPnJ_6OfNA_20_4"/>
      <w:bookmarkStart w:id="168" w:name="Tc_hbn7lJcyIU6uveNoa2ERbA_19_2"/>
      <w:bookmarkStart w:id="169" w:name="Tc_7NqtorI7d0ulpXX3N908Zg_19_0"/>
      <w:bookmarkStart w:id="170" w:name="Tc_CF-ZJPqwQUCLFPXMmHdZwg_18_2"/>
      <w:bookmarkStart w:id="171" w:name="Tc_WsokBLllXU2MMFywn6_v4w_18_0"/>
      <w:bookmarkStart w:id="172" w:name="Tc_wtBNHi7x2E6H7pjuLzzSyg_17_2"/>
      <w:bookmarkStart w:id="173" w:name="Tc_p9W3F7lXKk6Eo19t75pYjQ_17_0"/>
      <w:bookmarkStart w:id="174" w:name="Tc_As5dk-PuQEOzxJZ1-vX59Q_16_2"/>
      <w:bookmarkStart w:id="175" w:name="Tc_l1ZBhDjsSkKTcjfDNqoUlw_16_0"/>
      <w:bookmarkStart w:id="176" w:name="Tc_Hju04JMcHUGvcXXE_qInGw_15_2"/>
      <w:bookmarkStart w:id="177" w:name="Tc_9QsxiwKXpUalj8ClIXyhHA_15_0"/>
      <w:bookmarkStart w:id="178" w:name="Tc_8Ml-g0cb30aRjePIAJM8dA_14_2"/>
      <w:bookmarkStart w:id="179" w:name="Tc_v8FkfmNiEUSgorMptGGwlw_14_0"/>
      <w:bookmarkStart w:id="180" w:name="Tc_sbp6iYEkzUWegcXl7WHVGQ_13_2"/>
      <w:bookmarkStart w:id="181" w:name="Tc_2VQN-8lV1EavrAItHI7xEQ_13_0"/>
      <w:bookmarkStart w:id="182" w:name="Tc_cn94EnW8Z0mpStJeyBmf7Q_12_0"/>
      <w:bookmarkStart w:id="183" w:name="Tc_SV5hGubZl0qvD7IXbqibLg_11_7"/>
      <w:bookmarkStart w:id="184" w:name="Tc_-Jc9o2Sk5EmKlC2EgGl5mw_11_4"/>
      <w:bookmarkStart w:id="185" w:name="Tc_sk7c33oZk06fTF4nZysrUQ_10_2"/>
      <w:bookmarkStart w:id="186" w:name="Tc_iqYqKJnhJkWej-6ICC4deg_10_0"/>
      <w:bookmarkStart w:id="187" w:name="Tc_kTSB3I-ab0aEdtgmEkm1XQ_9_0"/>
      <w:bookmarkStart w:id="188" w:name="Tc_m9xzcT0of0qdjH7KUTkY3w_8_2"/>
      <w:bookmarkStart w:id="189" w:name="Tc_gleh12FSkkWceGi4ng60gg_8_0"/>
      <w:bookmarkStart w:id="190" w:name="Tc_A7gutYgzaU-Uwqxqnt2kdQ_7_2"/>
      <w:bookmarkStart w:id="191" w:name="Tc_do2ikDlij0a6k_2VumwEsA_7_0"/>
      <w:bookmarkStart w:id="192" w:name="Tc_XWkTweQnRU-LaQJdDNsOEw_6_2"/>
      <w:bookmarkStart w:id="193" w:name="Tc_shHcgn2zf0-tJ7BRsMHDdg_6_0"/>
      <w:bookmarkStart w:id="194" w:name="Tc_G9tmP2UtJkK1jlkeIafeKw_5_0"/>
      <w:bookmarkStart w:id="195" w:name="Tc_qXx3BXnhvECLSKG5vG9DAw_4_0"/>
      <w:bookmarkStart w:id="196" w:name="Tc_ZuzLDGVfA0apQ0ZDCodtMw_3_7"/>
      <w:bookmarkStart w:id="197" w:name="Tc_be15VJr0FE6X-DeYQWgBcg_3_4"/>
      <w:bookmarkStart w:id="198" w:name="Tc_E9EMmGHtWUS3er84P7T3YQ_3_2"/>
      <w:bookmarkStart w:id="199" w:name="Tc_uLlApx1z70mPcWEXe0CyIA_2_7"/>
      <w:bookmarkStart w:id="200" w:name="Tc__tDghQJND0mvRSkyz8PN5Q_2_4"/>
      <w:bookmarkStart w:id="201" w:name="Tc_SwG5WwoIGkGfXgG-F9j66Q_1_4"/>
      <w:bookmarkStart w:id="202" w:name="_64755d7d_072a_4725_a624_d1a6bbacf541"/>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tbl>
      <w:tblPr>
        <w:tblW w:w="6847" w:type="dxa"/>
        <w:jc w:val="left"/>
        <w:tblInd w:w="0" w:type="dxa"/>
        <w:tblLayout w:type="fixed"/>
        <w:tblCellMar>
          <w:top w:w="0" w:type="dxa"/>
          <w:left w:w="0" w:type="dxa"/>
          <w:bottom w:w="0" w:type="dxa"/>
          <w:right w:w="0" w:type="dxa"/>
        </w:tblCellMar>
      </w:tblPr>
      <w:tblGrid>
        <w:gridCol w:w="3076"/>
        <w:gridCol w:w="346"/>
        <w:gridCol w:w="511"/>
        <w:gridCol w:w="346"/>
        <w:gridCol w:w="226"/>
        <w:gridCol w:w="811"/>
        <w:gridCol w:w="346"/>
        <w:gridCol w:w="261"/>
        <w:gridCol w:w="924"/>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953260" cy="175260"/>
                      <wp:effectExtent l="0" t="0" r="0" b="0"/>
                      <wp:wrapNone/>
                      <wp:docPr id="44" name="Frame37"/>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24485" cy="175260"/>
                      <wp:effectExtent l="0" t="0" r="0" b="0"/>
                      <wp:wrapNone/>
                      <wp:docPr id="46" name="Frame39"/>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43510" cy="175260"/>
                      <wp:effectExtent l="0" t="0" r="0" b="0"/>
                      <wp:wrapNone/>
                      <wp:docPr id="48" name="Frame41"/>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14985" cy="175260"/>
                      <wp:effectExtent l="0" t="0" r="0" b="0"/>
                      <wp:wrapNone/>
                      <wp:docPr id="49" name="Frame42"/>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65735" cy="175260"/>
                      <wp:effectExtent l="0" t="0" r="0" b="0"/>
                      <wp:wrapNone/>
                      <wp:docPr id="51" name="Frame44"/>
                      <a:graphic xmlns:a="http://schemas.openxmlformats.org/drawingml/2006/main">
                        <a:graphicData uri="http://schemas.microsoft.com/office/word/2010/wordprocessingShape">
                          <wps:wsp>
                            <wps:cNvSpPr txBox="1"/>
                            <wps:spPr>
                              <a:xfrm>
                                <a:off x="0" y="0"/>
                                <a:ext cx="165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86740" cy="175260"/>
                      <wp:effectExtent l="0" t="0" r="0" b="0"/>
                      <wp:wrapNone/>
                      <wp:docPr id="52" name="Frame45"/>
                      <a:graphic xmlns:a="http://schemas.openxmlformats.org/drawingml/2006/main">
                        <a:graphicData uri="http://schemas.microsoft.com/office/word/2010/wordprocessingShape">
                          <wps:wsp>
                            <wps:cNvSpPr txBox="1"/>
                            <wps:spPr>
                              <a:xfrm>
                                <a:off x="0" y="0"/>
                                <a:ext cx="5867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5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03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5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1"/>
              <w:ind w:left="0" w:right="0" w:hanging="0"/>
              <w:jc w:val="left"/>
              <w:rPr/>
            </w:pPr>
            <w:r>
              <w:rPr/>
              <w:t>  ​ ​ ​</w:t>
            </w:r>
          </w:p>
        </w:tc>
        <w:tc>
          <w:tcPr>
            <w:tcW w:w="103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ASSETS</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assets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  ​</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Property, plant and equipment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4,159</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4,052</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Intangible assets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48,016</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50,108</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Right of use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1,775</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1,293</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asset</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87</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long-term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10</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1,831</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1,718</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55,791</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57,258</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Inventory</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11</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3,706</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4,660</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Trade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6,849</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5,254</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Contract assets</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12</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261</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receivables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12</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3,432</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2,209</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current assets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13</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803</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828</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Financial assets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15</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33,670</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18,000</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Cash and cash equivalents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14</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64,115</w:t>
            </w:r>
          </w:p>
        </w:tc>
        <w:tc>
          <w:tcPr>
            <w:tcW w:w="346" w:type="dxa"/>
            <w:tcBorders/>
            <w:vAlign w:val="center"/>
          </w:tcPr>
          <w:p>
            <w:pPr>
              <w:pStyle w:val="TableContents"/>
              <w:bidi w:val="0"/>
              <w:spacing w:before="0" w:after="1"/>
              <w:ind w:left="0" w:right="0" w:hanging="0"/>
              <w:jc w:val="left"/>
              <w:rPr/>
            </w:pPr>
            <w:r>
              <w:rPr/>
              <w:t>​</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30,001</w:t>
            </w:r>
          </w:p>
        </w:tc>
      </w:tr>
      <w:tr>
        <w:trPr/>
        <w:tc>
          <w:tcPr>
            <w:tcW w:w="30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112,675</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61,213</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assets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168,466</w:t>
            </w:r>
          </w:p>
        </w:tc>
        <w:tc>
          <w:tcPr>
            <w:tcW w:w="346" w:type="dxa"/>
            <w:tcBorders/>
            <w:vAlign w:val="center"/>
          </w:tcPr>
          <w:p>
            <w:pPr>
              <w:pStyle w:val="TableContents"/>
              <w:bidi w:val="0"/>
              <w:spacing w:before="0" w:after="1"/>
              <w:ind w:left="0" w:right="0" w:hanging="0"/>
              <w:jc w:val="left"/>
              <w:rPr/>
            </w:pPr>
            <w:r>
              <w:rPr/>
              <w:t> </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118,471</w:t>
            </w:r>
          </w:p>
        </w:tc>
      </w:tr>
      <w:tr>
        <w:trPr/>
        <w:tc>
          <w:tcPr>
            <w:tcW w:w="30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EQUITY AND LIABILITIES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Share capital and reserves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capital</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7,075</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6,505</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premium</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415,011</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335,134</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based payment reserve</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17</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13,468</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12,395</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comprehensive income</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16</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1,125</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1,124</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Retained loss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(353,570)</w:t>
            </w:r>
          </w:p>
        </w:tc>
        <w:tc>
          <w:tcPr>
            <w:tcW w:w="346" w:type="dxa"/>
            <w:tcBorders/>
            <w:vAlign w:val="center"/>
          </w:tcPr>
          <w:p>
            <w:pPr>
              <w:pStyle w:val="TableContents"/>
              <w:bidi w:val="0"/>
              <w:spacing w:before="0" w:after="1"/>
              <w:ind w:left="0" w:right="0" w:hanging="0"/>
              <w:jc w:val="left"/>
              <w:rPr/>
            </w:pPr>
            <w:r>
              <w:rPr/>
              <w:t> </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(306,029)</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equity attributable to shareholders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83,109</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49,129</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LIABILITIES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Non-current liabilities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Financial debt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34,976</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17,670</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liability</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1,326</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637</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Provisions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19</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1,022</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1,396</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Deferred tax liability</w:t>
            </w:r>
          </w:p>
        </w:tc>
        <w:tc>
          <w:tcPr>
            <w:tcW w:w="346" w:type="dxa"/>
            <w:tcBorders/>
            <w:vAlign w:val="center"/>
          </w:tcPr>
          <w:p>
            <w:pPr>
              <w:pStyle w:val="TableContents"/>
              <w:bidi w:val="0"/>
              <w:spacing w:before="0" w:after="1"/>
              <w:ind w:left="0" w:right="0" w:hanging="0"/>
              <w:jc w:val="left"/>
              <w:rPr/>
            </w:pPr>
            <w:r>
              <w:rPr/>
              <w:t>​</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45</w:t>
            </w:r>
          </w:p>
        </w:tc>
        <w:tc>
          <w:tcPr>
            <w:tcW w:w="346" w:type="dxa"/>
            <w:tcBorders/>
            <w:vAlign w:val="center"/>
          </w:tcPr>
          <w:p>
            <w:pPr>
              <w:pStyle w:val="TableContents"/>
              <w:bidi w:val="0"/>
              <w:spacing w:before="0" w:after="1"/>
              <w:ind w:left="0" w:right="0" w:hanging="0"/>
              <w:jc w:val="left"/>
              <w:rPr/>
            </w:pPr>
            <w:r>
              <w:rPr/>
              <w:t>​</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Contract liability</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24</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722</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681</w:t>
            </w:r>
          </w:p>
        </w:tc>
      </w:tr>
      <w:tr>
        <w:trPr/>
        <w:tc>
          <w:tcPr>
            <w:tcW w:w="307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38,091</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20,384</w:t>
            </w:r>
          </w:p>
        </w:tc>
      </w:tr>
      <w:tr>
        <w:trPr/>
        <w:tc>
          <w:tcPr>
            <w:tcW w:w="30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Current liabilities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Financial debt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18</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23,135</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22,990</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liability</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9</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551</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779</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Trade payables</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12,638</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13,727</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Current tax liability</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21</w:t>
            </w:r>
          </w:p>
        </w:tc>
        <w:tc>
          <w:tcPr>
            <w:tcW w:w="346" w:type="dxa"/>
            <w:tcBorders/>
            <w:vAlign w:val="center"/>
          </w:tcPr>
          <w:p>
            <w:pPr>
              <w:pStyle w:val="TableContents"/>
              <w:bidi w:val="0"/>
              <w:spacing w:before="0" w:after="1"/>
              <w:ind w:left="0" w:right="0" w:hanging="0"/>
              <w:jc w:val="left"/>
              <w:rPr/>
            </w:pPr>
            <w:r>
              <w:rPr/>
              <w:t> </w:t>
            </w:r>
          </w:p>
        </w:tc>
        <w:tc>
          <w:tcPr>
            <w:tcW w:w="2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4,020</w:t>
            </w:r>
          </w:p>
        </w:tc>
        <w:tc>
          <w:tcPr>
            <w:tcW w:w="346" w:type="dxa"/>
            <w:tcBorders/>
            <w:vAlign w:val="center"/>
          </w:tcPr>
          <w:p>
            <w:pPr>
              <w:pStyle w:val="TableContents"/>
              <w:bidi w:val="0"/>
              <w:spacing w:before="0" w:after="1"/>
              <w:ind w:left="0" w:right="0" w:hanging="0"/>
              <w:jc w:val="left"/>
              <w:rPr/>
            </w:pPr>
            <w:r>
              <w:rPr/>
              <w:t> </w:t>
            </w:r>
          </w:p>
        </w:tc>
        <w:tc>
          <w:tcPr>
            <w:tcW w:w="261" w:type="dxa"/>
            <w:tcBorders/>
            <w:vAlign w:val="center"/>
          </w:tcPr>
          <w:p>
            <w:pPr>
              <w:pStyle w:val="TableContents"/>
              <w:bidi w:val="0"/>
              <w:spacing w:before="0" w:after="1"/>
              <w:ind w:left="0" w:right="0" w:hanging="0"/>
              <w:jc w:val="left"/>
              <w:rPr/>
            </w:pPr>
            <w:r>
              <w:rPr/>
              <w:t>​</w:t>
            </w:r>
          </w:p>
        </w:tc>
        <w:tc>
          <w:tcPr>
            <w:tcW w:w="924"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3,939</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Contract liability</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24</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1,000</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shd w:fill="CCEEFF" w:val="clear"/>
            <w:vAlign w:val="center"/>
          </w:tcPr>
          <w:p>
            <w:pPr>
              <w:pStyle w:val="TableContents"/>
              <w:bidi w:val="0"/>
              <w:spacing w:before="0" w:after="1"/>
              <w:ind w:left="0" w:right="0" w:hanging="0"/>
              <w:jc w:val="left"/>
              <w:rPr/>
            </w:pPr>
            <w:r>
              <w:rPr/>
              <w:t>​</w:t>
            </w:r>
          </w:p>
        </w:tc>
        <w:tc>
          <w:tcPr>
            <w:tcW w:w="924"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894</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Other liability</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22</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5,922</w:t>
            </w:r>
          </w:p>
        </w:tc>
        <w:tc>
          <w:tcPr>
            <w:tcW w:w="346" w:type="dxa"/>
            <w:tcBorders/>
            <w:vAlign w:val="center"/>
          </w:tcPr>
          <w:p>
            <w:pPr>
              <w:pStyle w:val="TableContents"/>
              <w:bidi w:val="0"/>
              <w:spacing w:before="0" w:after="1"/>
              <w:ind w:left="0" w:right="0" w:hanging="0"/>
              <w:jc w:val="left"/>
              <w:rPr/>
            </w:pPr>
            <w:r>
              <w:rPr/>
              <w:t> </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6,629</w:t>
            </w:r>
          </w:p>
        </w:tc>
      </w:tr>
      <w:tr>
        <w:trPr/>
        <w:tc>
          <w:tcPr>
            <w:tcW w:w="3076"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511" w:type="dxa"/>
            <w:tcBorders/>
            <w:shd w:fill="CCEEFF" w:val="clear"/>
            <w:vAlign w:val="center"/>
          </w:tcPr>
          <w:p>
            <w:pPr>
              <w:pStyle w:val="TableContents"/>
              <w:bidi w:val="0"/>
              <w:spacing w:before="0" w:after="1"/>
              <w:ind w:left="0" w:right="0" w:hanging="0"/>
              <w:jc w:val="center"/>
              <w:rPr/>
            </w:pPr>
            <w:r>
              <w:rPr/>
              <w:t>  ​</w:t>
            </w:r>
          </w:p>
        </w:tc>
        <w:tc>
          <w:tcPr>
            <w:tcW w:w="346" w:type="dxa"/>
            <w:tcBorders/>
            <w:shd w:fill="CCEEFF" w:val="clear"/>
            <w:vAlign w:val="center"/>
          </w:tcPr>
          <w:p>
            <w:pPr>
              <w:pStyle w:val="TableContents"/>
              <w:bidi w:val="0"/>
              <w:spacing w:before="0" w:after="1"/>
              <w:ind w:left="0" w:right="0" w:hanging="0"/>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47,266</w:t>
            </w:r>
          </w:p>
        </w:tc>
        <w:tc>
          <w:tcPr>
            <w:tcW w:w="346" w:type="dxa"/>
            <w:tcBorders/>
            <w:shd w:fill="CCEEFF" w:val="clear"/>
            <w:vAlign w:val="center"/>
          </w:tcPr>
          <w:p>
            <w:pPr>
              <w:pStyle w:val="TableContents"/>
              <w:bidi w:val="0"/>
              <w:spacing w:before="0" w:after="1"/>
              <w:ind w:left="0" w:right="0" w:hanging="0"/>
              <w:jc w:val="left"/>
              <w:rPr/>
            </w:pPr>
            <w:r>
              <w:rPr/>
              <w:t> </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48,958</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liabilities</w:t>
            </w:r>
          </w:p>
        </w:tc>
        <w:tc>
          <w:tcPr>
            <w:tcW w:w="346" w:type="dxa"/>
            <w:tcBorders/>
            <w:vAlign w:val="center"/>
          </w:tcPr>
          <w:p>
            <w:pPr>
              <w:pStyle w:val="TableContents"/>
              <w:bidi w:val="0"/>
              <w:spacing w:before="0" w:after="1"/>
              <w:ind w:left="0" w:right="0" w:hanging="0"/>
              <w:jc w:val="left"/>
              <w:rPr/>
            </w:pPr>
            <w:r>
              <w:rPr/>
              <w:t> </w:t>
            </w:r>
          </w:p>
        </w:tc>
        <w:tc>
          <w:tcPr>
            <w:tcW w:w="511" w:type="dxa"/>
            <w:tcBorders/>
            <w:vAlign w:val="center"/>
          </w:tcPr>
          <w:p>
            <w:pPr>
              <w:pStyle w:val="TableContents"/>
              <w:bidi w:val="0"/>
              <w:spacing w:before="0" w:after="1"/>
              <w:ind w:left="0" w:right="0" w:hanging="0"/>
              <w:jc w:val="center"/>
              <w:rPr/>
            </w:pPr>
            <w:r>
              <w:rPr/>
              <w:t>  ​</w:t>
            </w:r>
          </w:p>
        </w:tc>
        <w:tc>
          <w:tcPr>
            <w:tcW w:w="346" w:type="dxa"/>
            <w:tcBorders/>
            <w:vAlign w:val="center"/>
          </w:tcPr>
          <w:p>
            <w:pPr>
              <w:pStyle w:val="TableContents"/>
              <w:bidi w:val="0"/>
              <w:spacing w:before="0" w:after="1"/>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85,357</w:t>
            </w:r>
          </w:p>
        </w:tc>
        <w:tc>
          <w:tcPr>
            <w:tcW w:w="346" w:type="dxa"/>
            <w:tcBorders/>
            <w:vAlign w:val="center"/>
          </w:tcPr>
          <w:p>
            <w:pPr>
              <w:pStyle w:val="TableContents"/>
              <w:bidi w:val="0"/>
              <w:spacing w:before="0" w:after="1"/>
              <w:ind w:left="0" w:right="0" w:hanging="0"/>
              <w:jc w:val="left"/>
              <w:rPr/>
            </w:pPr>
            <w:r>
              <w:rPr/>
              <w:t> </w:t>
            </w:r>
          </w:p>
        </w:tc>
        <w:tc>
          <w:tcPr>
            <w:tcW w:w="26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69,342</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Total equity and liabilities</w:t>
            </w:r>
          </w:p>
        </w:tc>
        <w:tc>
          <w:tcPr>
            <w:tcW w:w="346" w:type="dxa"/>
            <w:tcBorders/>
            <w:shd w:fill="CCEEFF" w:val="clear"/>
            <w:vAlign w:val="center"/>
          </w:tcPr>
          <w:p>
            <w:pPr>
              <w:pStyle w:val="TableContents"/>
              <w:bidi w:val="0"/>
              <w:spacing w:before="0" w:after="1"/>
              <w:ind w:left="0" w:right="0" w:hanging="0"/>
              <w:jc w:val="left"/>
              <w:rPr/>
            </w:pPr>
            <w:r>
              <w:rPr/>
              <w:t>​</w:t>
            </w:r>
          </w:p>
        </w:tc>
        <w:tc>
          <w:tcPr>
            <w:tcW w:w="51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16"/>
              </w:rPr>
            </w:pPr>
            <w:r>
              <w:rPr>
                <w:rFonts w:ascii="Times New Roman;Times;serif" w:hAnsi="Times New Roman;Times;serif"/>
                <w:b/>
                <w:sz w:val="16"/>
              </w:rPr>
              <w:t>168,466</w:t>
            </w:r>
          </w:p>
        </w:tc>
        <w:tc>
          <w:tcPr>
            <w:tcW w:w="346" w:type="dxa"/>
            <w:tcBorders/>
            <w:shd w:fill="CCEEFF" w:val="clear"/>
            <w:vAlign w:val="center"/>
          </w:tcPr>
          <w:p>
            <w:pPr>
              <w:pStyle w:val="TableContents"/>
              <w:bidi w:val="0"/>
              <w:spacing w:before="0" w:after="1"/>
              <w:ind w:left="0" w:right="0" w:hanging="0"/>
              <w:jc w:val="left"/>
              <w:rPr/>
            </w:pPr>
            <w:r>
              <w:rPr/>
              <w:t>​</w:t>
            </w:r>
          </w:p>
        </w:tc>
        <w:tc>
          <w:tcPr>
            <w:tcW w:w="26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24"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16"/>
              </w:rPr>
            </w:pPr>
            <w:r>
              <w:rPr>
                <w:rFonts w:ascii="Times New Roman;Times;serif" w:hAnsi="Times New Roman;Times;serif"/>
                <w:b/>
                <w:sz w:val="16"/>
              </w:rPr>
              <w:t>118,471</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203" w:name="_6dc617b2_39af_4c3d_bc6e_ef3b5b056aea"/>
      <w:bookmarkEnd w:id="203"/>
      <w:r>
        <w:rPr>
          <w:rFonts w:ascii="Times New Roman;Times;serif" w:hAnsi="Times New Roman;Times;serif"/>
          <w:b/>
          <w:sz w:val="20"/>
        </w:rPr>
        <w:t>NYXOAH SA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INTERIM FINANCIAL INFORMATION AS AT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2026 -</w:t>
      </w:r>
    </w:p>
    <w:p>
      <w:pPr>
        <w:pStyle w:val="TextBody"/>
        <w:bidi w:val="0"/>
        <w:spacing w:before="0" w:after="0"/>
        <w:ind w:left="0" w:right="0" w:hanging="0"/>
        <w:jc w:val="center"/>
        <w:rPr>
          <w:rFonts w:ascii="Times New Roman;Times;serif" w:hAnsi="Times New Roman;Times;serif"/>
          <w:b/>
          <w:sz w:val="20"/>
        </w:rPr>
      </w:pPr>
      <w:bookmarkStart w:id="204" w:name="INTERIMCONSOLIDATEDSTATEMENTSOFLOSSANDOT"/>
      <w:bookmarkEnd w:id="204"/>
      <w:r>
        <w:rPr>
          <w:rFonts w:ascii="Times New Roman;Times;serif" w:hAnsi="Times New Roman;Times;serif"/>
          <w:b/>
          <w:sz w:val="20"/>
        </w:rPr>
        <w:t>INTERIM CONSOLIDATED STATEMENTS OF LOSS AND OTHER COMPREHENSIVE LOSS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205" w:name="Tc_xD_l_7wE30OoHvnPFNhqCA_25_13"/>
      <w:bookmarkStart w:id="206" w:name="Tc_j4zh1nwbBEOPR5D9_wFt4g_25_10"/>
      <w:bookmarkStart w:id="207" w:name="Tc_gu9XjqvlXUG6Hk6O1SL6Yg_25_7"/>
      <w:bookmarkStart w:id="208" w:name="Tc_P_YeZOqVKkGmX5VitwDY8Q_25_4"/>
      <w:bookmarkStart w:id="209" w:name="Tc_dSSVh2-CI0al0wvnkW-Ylg_25_2"/>
      <w:bookmarkStart w:id="210" w:name="Tc_Vl3IfxjEkkC4vfW2dRI04w_25_0"/>
      <w:bookmarkStart w:id="211" w:name="Tc_bKSnhc9E1k2ttNpkbsnFEA_24_13"/>
      <w:bookmarkStart w:id="212" w:name="Tc_qDBEcc9PS0Cu26Qv0oStwA_24_10"/>
      <w:bookmarkStart w:id="213" w:name="Tc_VXBVQbCCekGujOi8HPYDBA_24_7"/>
      <w:bookmarkStart w:id="214" w:name="Tc_sbicU7XbsEG5outtghdWBQ_24_4"/>
      <w:bookmarkStart w:id="215" w:name="Tc_0rX06pFuxkKbf8ECEe3Eaw_24_2"/>
      <w:bookmarkStart w:id="216" w:name="Tc_ZNWSk5ySgky5hiGzBlY2yg_24_0"/>
      <w:bookmarkStart w:id="217" w:name="Tc_IoFg6iCQyEOhDDvVh11CIQ_22_13"/>
      <w:bookmarkStart w:id="218" w:name="Tc_aWBfvv7P50iheer7cx7XUw_22_10"/>
      <w:bookmarkStart w:id="219" w:name="Tc_90KZAMTUE0W2xPHJbw9oNA_22_7"/>
      <w:bookmarkStart w:id="220" w:name="Tc_HQBY2DI1JkiUJ_zzulC5Mg_22_4"/>
      <w:bookmarkStart w:id="221" w:name="Tc_gwzikqj8Y0yRFzlkwlW_Dg_22_0"/>
      <w:bookmarkStart w:id="222" w:name="Tc_SypU10B_XkGI2Ox598zjtQ_21_13"/>
      <w:bookmarkStart w:id="223" w:name="Tc_dqUR297dMUCBeIeUWyStQg_21_10"/>
      <w:bookmarkStart w:id="224" w:name="Tc_45ygvaxW4kekh7slSULAJQ_21_7"/>
      <w:bookmarkStart w:id="225" w:name="Tc_E4_OiIcq3ECSN_9Bofhvow_21_4"/>
      <w:bookmarkStart w:id="226" w:name="Tc_h0FrvdDO9US1CnC67bkY0Q_21_0"/>
      <w:bookmarkStart w:id="227" w:name="Tc_eEGcN2qQdE6KddLn-U3m6g_20_0"/>
      <w:bookmarkStart w:id="228" w:name="Tc_msoToPvEMkS8XiRcQ_b5pA_19_0"/>
      <w:bookmarkStart w:id="229" w:name="Tc_RbUpbSPH-kGYD78sE1_dKw_18_0"/>
      <w:bookmarkStart w:id="230" w:name="Tc_KEiksZeGYEiiDRxbLxw8Tg_17_13"/>
      <w:bookmarkStart w:id="231" w:name="Tc_QyCzKqsfv0iQRYwMRI7MYQ_17_10"/>
      <w:bookmarkStart w:id="232" w:name="Tc_ZH344tO6jk2pQ4uKtm0B8w_17_7"/>
      <w:bookmarkStart w:id="233" w:name="Tc_N7sinyN76kWQYYq35sZbgQ_17_4"/>
      <w:bookmarkStart w:id="234" w:name="Tc_ky6eO4soA0WwjXr00Hukmg_17_0"/>
      <w:bookmarkStart w:id="235" w:name="Tc_FtnpDptd0Ei_DQtMsiBvZg_15_13"/>
      <w:bookmarkStart w:id="236" w:name="Tc_O5GqKokHMkSRPQi093DANQ_15_10"/>
      <w:bookmarkStart w:id="237" w:name="Tc_BJ6FVdtIf0CS3UkItvo2Qw_15_7"/>
      <w:bookmarkStart w:id="238" w:name="Tc_2RkQ97rugk6jwbyXjjRUKQ_15_4"/>
      <w:bookmarkStart w:id="239" w:name="Tc_cf1hsLSAhEmREe-meIF9YA_15_0"/>
      <w:bookmarkStart w:id="240" w:name="Tc_KLwI3R58FUKp7-jjtNiJJg_14_2"/>
      <w:bookmarkStart w:id="241" w:name="Tc_SXvyoOUDb0OrVZ4StdKHoA_14_0"/>
      <w:bookmarkStart w:id="242" w:name="Tc_TJyXpVSM5kSFSNXfItivHQ_13_13"/>
      <w:bookmarkStart w:id="243" w:name="Tc_KfuN_4Y_u0eZvgLk2UhqRg_13_10"/>
      <w:bookmarkStart w:id="244" w:name="Tc_sLupEwBCS0KrfHPSuL02rA_13_7"/>
      <w:bookmarkStart w:id="245" w:name="Tc_3F0TkHqVSkqaGW25HjUwGQ_13_4"/>
      <w:bookmarkStart w:id="246" w:name="Tc_d8h2yE3ypUKIbCSLMEYvEw_13_0"/>
      <w:bookmarkStart w:id="247" w:name="Tc_AKaXUh3YhEukR6tvLrVOog_12_2"/>
      <w:bookmarkStart w:id="248" w:name="Tc_ykoRqD3zv0qNp2joBPjZ4w_12_0"/>
      <w:bookmarkStart w:id="249" w:name="Tc_OtUraETYtUybuUiOgSigpw_11_2"/>
      <w:bookmarkStart w:id="250" w:name="Tc_CvoI6zBJOEiUbutUozbBJQ_11_0"/>
      <w:bookmarkStart w:id="251" w:name="Tc_O4CFp45Xu0un9dJXGVaECg_10_13"/>
      <w:bookmarkStart w:id="252" w:name="Tc_py5rbWSq0k-eypCFLYHogA_10_10"/>
      <w:bookmarkStart w:id="253" w:name="Tc_WkZJKqClDkmcB4sdFnMYXA_10_7"/>
      <w:bookmarkStart w:id="254" w:name="Tc_d8ze5GnSKkuEkkNcfFboPw_10_4"/>
      <w:bookmarkStart w:id="255" w:name="Tc_O1MXU7CAnEaylRPqqc09jg_10_0"/>
      <w:bookmarkStart w:id="256" w:name="Tc_hTz-phtNWEGv3E6CV58bfw_9_0"/>
      <w:bookmarkStart w:id="257" w:name="Tc_4ui14Fs2hEKtkKn1qIw3RA_8_2"/>
      <w:bookmarkStart w:id="258" w:name="Tc_33i6zLLtVEOth0eUcQCpRA_8_0"/>
      <w:bookmarkStart w:id="259" w:name="Tc_uOm-K4Yj2kWu_BVZmWiPxg_7_2"/>
      <w:bookmarkStart w:id="260" w:name="Tc_I2zZbMCeNUevDlsofIjjNA_7_0"/>
      <w:bookmarkStart w:id="261" w:name="Tc_Kl2W-rnTVECFcP1eZiQ1_g_6_13"/>
      <w:bookmarkStart w:id="262" w:name="Tc_1DNy1_jgoEKIwqmLIIglJA_6_10"/>
      <w:bookmarkStart w:id="263" w:name="Tc_G4shxInopECKfJIFELzkaw_6_7"/>
      <w:bookmarkStart w:id="264" w:name="Tc_fEvm6iGzE0yI2RnN8B2lEQ_6_4"/>
      <w:bookmarkStart w:id="265" w:name="Tc_BXdlzvMCoUi3Ssr26400zw_6_0"/>
      <w:bookmarkStart w:id="266" w:name="Tc_0fNwiUy7VEaclPByYzsYbg_5_2"/>
      <w:bookmarkStart w:id="267" w:name="Tc_2tqr3vIwQUiXnYb_GwXSRQ_5_0"/>
      <w:bookmarkStart w:id="268" w:name="Tc_01z4pDk59E-6FmlJe5rzVA_4_2"/>
      <w:bookmarkStart w:id="269" w:name="Tc_YdTp5-z-BEGEB4reS_rlhg_4_0"/>
      <w:bookmarkStart w:id="270" w:name="Tc_NUK_suLGm02oedHVm1Diig_3_13"/>
      <w:bookmarkStart w:id="271" w:name="Tc_aO9A4o1AnU-g9CF2UzKVBQ_3_10"/>
      <w:bookmarkStart w:id="272" w:name="Tc_BEi4mysgz0-DeKAEnwspYQ_3_7"/>
      <w:bookmarkStart w:id="273" w:name="Tc_qlLFC20nmkK8bCUliA7s0A_3_4"/>
      <w:bookmarkStart w:id="274" w:name="Tc_bsWCzc-We0GnhinW8JiMNA_3_2"/>
      <w:bookmarkStart w:id="275" w:name="Tc_Cwjv_GZIYEukjEd76EmAFA_2_10"/>
      <w:bookmarkStart w:id="276" w:name="Tc_6fJuMBmNRESHutNNbRdeYQ_2_4"/>
      <w:bookmarkStart w:id="277" w:name="Tc_Y-oYV6LeY0Sc9-2l5ezDpg_1_10"/>
      <w:bookmarkStart w:id="278" w:name="Tc_m1xU3cZb6EOV4Nv5hj4zaQ_1_4"/>
      <w:bookmarkStart w:id="279" w:name="_a9b9066a_8f26_4151_af90_fe74f82920d1"/>
      <w:bookmarkStart w:id="280" w:name="Tc_xD_l_7wE30OoHvnPFNhqCA_25_13"/>
      <w:bookmarkStart w:id="281" w:name="Tc_j4zh1nwbBEOPR5D9_wFt4g_25_10"/>
      <w:bookmarkStart w:id="282" w:name="Tc_gu9XjqvlXUG6Hk6O1SL6Yg_25_7"/>
      <w:bookmarkStart w:id="283" w:name="Tc_P_YeZOqVKkGmX5VitwDY8Q_25_4"/>
      <w:bookmarkStart w:id="284" w:name="Tc_dSSVh2-CI0al0wvnkW-Ylg_25_2"/>
      <w:bookmarkStart w:id="285" w:name="Tc_Vl3IfxjEkkC4vfW2dRI04w_25_0"/>
      <w:bookmarkStart w:id="286" w:name="Tc_bKSnhc9E1k2ttNpkbsnFEA_24_13"/>
      <w:bookmarkStart w:id="287" w:name="Tc_qDBEcc9PS0Cu26Qv0oStwA_24_10"/>
      <w:bookmarkStart w:id="288" w:name="Tc_VXBVQbCCekGujOi8HPYDBA_24_7"/>
      <w:bookmarkStart w:id="289" w:name="Tc_sbicU7XbsEG5outtghdWBQ_24_4"/>
      <w:bookmarkStart w:id="290" w:name="Tc_0rX06pFuxkKbf8ECEe3Eaw_24_2"/>
      <w:bookmarkStart w:id="291" w:name="Tc_ZNWSk5ySgky5hiGzBlY2yg_24_0"/>
      <w:bookmarkStart w:id="292" w:name="Tc_IoFg6iCQyEOhDDvVh11CIQ_22_13"/>
      <w:bookmarkStart w:id="293" w:name="Tc_aWBfvv7P50iheer7cx7XUw_22_10"/>
      <w:bookmarkStart w:id="294" w:name="Tc_90KZAMTUE0W2xPHJbw9oNA_22_7"/>
      <w:bookmarkStart w:id="295" w:name="Tc_HQBY2DI1JkiUJ_zzulC5Mg_22_4"/>
      <w:bookmarkStart w:id="296" w:name="Tc_gwzikqj8Y0yRFzlkwlW_Dg_22_0"/>
      <w:bookmarkStart w:id="297" w:name="Tc_SypU10B_XkGI2Ox598zjtQ_21_13"/>
      <w:bookmarkStart w:id="298" w:name="Tc_dqUR297dMUCBeIeUWyStQg_21_10"/>
      <w:bookmarkStart w:id="299" w:name="Tc_45ygvaxW4kekh7slSULAJQ_21_7"/>
      <w:bookmarkStart w:id="300" w:name="Tc_E4_OiIcq3ECSN_9Bofhvow_21_4"/>
      <w:bookmarkStart w:id="301" w:name="Tc_h0FrvdDO9US1CnC67bkY0Q_21_0"/>
      <w:bookmarkStart w:id="302" w:name="Tc_eEGcN2qQdE6KddLn-U3m6g_20_0"/>
      <w:bookmarkStart w:id="303" w:name="Tc_msoToPvEMkS8XiRcQ_b5pA_19_0"/>
      <w:bookmarkStart w:id="304" w:name="Tc_RbUpbSPH-kGYD78sE1_dKw_18_0"/>
      <w:bookmarkStart w:id="305" w:name="Tc_KEiksZeGYEiiDRxbLxw8Tg_17_13"/>
      <w:bookmarkStart w:id="306" w:name="Tc_QyCzKqsfv0iQRYwMRI7MYQ_17_10"/>
      <w:bookmarkStart w:id="307" w:name="Tc_ZH344tO6jk2pQ4uKtm0B8w_17_7"/>
      <w:bookmarkStart w:id="308" w:name="Tc_N7sinyN76kWQYYq35sZbgQ_17_4"/>
      <w:bookmarkStart w:id="309" w:name="Tc_ky6eO4soA0WwjXr00Hukmg_17_0"/>
      <w:bookmarkStart w:id="310" w:name="Tc_FtnpDptd0Ei_DQtMsiBvZg_15_13"/>
      <w:bookmarkStart w:id="311" w:name="Tc_O5GqKokHMkSRPQi093DANQ_15_10"/>
      <w:bookmarkStart w:id="312" w:name="Tc_BJ6FVdtIf0CS3UkItvo2Qw_15_7"/>
      <w:bookmarkStart w:id="313" w:name="Tc_2RkQ97rugk6jwbyXjjRUKQ_15_4"/>
      <w:bookmarkStart w:id="314" w:name="Tc_cf1hsLSAhEmREe-meIF9YA_15_0"/>
      <w:bookmarkStart w:id="315" w:name="Tc_KLwI3R58FUKp7-jjtNiJJg_14_2"/>
      <w:bookmarkStart w:id="316" w:name="Tc_SXvyoOUDb0OrVZ4StdKHoA_14_0"/>
      <w:bookmarkStart w:id="317" w:name="Tc_TJyXpVSM5kSFSNXfItivHQ_13_13"/>
      <w:bookmarkStart w:id="318" w:name="Tc_KfuN_4Y_u0eZvgLk2UhqRg_13_10"/>
      <w:bookmarkStart w:id="319" w:name="Tc_sLupEwBCS0KrfHPSuL02rA_13_7"/>
      <w:bookmarkStart w:id="320" w:name="Tc_3F0TkHqVSkqaGW25HjUwGQ_13_4"/>
      <w:bookmarkStart w:id="321" w:name="Tc_d8h2yE3ypUKIbCSLMEYvEw_13_0"/>
      <w:bookmarkStart w:id="322" w:name="Tc_AKaXUh3YhEukR6tvLrVOog_12_2"/>
      <w:bookmarkStart w:id="323" w:name="Tc_ykoRqD3zv0qNp2joBPjZ4w_12_0"/>
      <w:bookmarkStart w:id="324" w:name="Tc_OtUraETYtUybuUiOgSigpw_11_2"/>
      <w:bookmarkStart w:id="325" w:name="Tc_CvoI6zBJOEiUbutUozbBJQ_11_0"/>
      <w:bookmarkStart w:id="326" w:name="Tc_O4CFp45Xu0un9dJXGVaECg_10_13"/>
      <w:bookmarkStart w:id="327" w:name="Tc_py5rbWSq0k-eypCFLYHogA_10_10"/>
      <w:bookmarkStart w:id="328" w:name="Tc_WkZJKqClDkmcB4sdFnMYXA_10_7"/>
      <w:bookmarkStart w:id="329" w:name="Tc_d8ze5GnSKkuEkkNcfFboPw_10_4"/>
      <w:bookmarkStart w:id="330" w:name="Tc_O1MXU7CAnEaylRPqqc09jg_10_0"/>
      <w:bookmarkStart w:id="331" w:name="Tc_hTz-phtNWEGv3E6CV58bfw_9_0"/>
      <w:bookmarkStart w:id="332" w:name="Tc_4ui14Fs2hEKtkKn1qIw3RA_8_2"/>
      <w:bookmarkStart w:id="333" w:name="Tc_33i6zLLtVEOth0eUcQCpRA_8_0"/>
      <w:bookmarkStart w:id="334" w:name="Tc_uOm-K4Yj2kWu_BVZmWiPxg_7_2"/>
      <w:bookmarkStart w:id="335" w:name="Tc_I2zZbMCeNUevDlsofIjjNA_7_0"/>
      <w:bookmarkStart w:id="336" w:name="Tc_Kl2W-rnTVECFcP1eZiQ1_g_6_13"/>
      <w:bookmarkStart w:id="337" w:name="Tc_1DNy1_jgoEKIwqmLIIglJA_6_10"/>
      <w:bookmarkStart w:id="338" w:name="Tc_G4shxInopECKfJIFELzkaw_6_7"/>
      <w:bookmarkStart w:id="339" w:name="Tc_fEvm6iGzE0yI2RnN8B2lEQ_6_4"/>
      <w:bookmarkStart w:id="340" w:name="Tc_BXdlzvMCoUi3Ssr26400zw_6_0"/>
      <w:bookmarkStart w:id="341" w:name="Tc_0fNwiUy7VEaclPByYzsYbg_5_2"/>
      <w:bookmarkStart w:id="342" w:name="Tc_2tqr3vIwQUiXnYb_GwXSRQ_5_0"/>
      <w:bookmarkStart w:id="343" w:name="Tc_01z4pDk59E-6FmlJe5rzVA_4_2"/>
      <w:bookmarkStart w:id="344" w:name="Tc_YdTp5-z-BEGEB4reS_rlhg_4_0"/>
      <w:bookmarkStart w:id="345" w:name="Tc_NUK_suLGm02oedHVm1Diig_3_13"/>
      <w:bookmarkStart w:id="346" w:name="Tc_aO9A4o1AnU-g9CF2UzKVBQ_3_10"/>
      <w:bookmarkStart w:id="347" w:name="Tc_BEi4mysgz0-DeKAEnwspYQ_3_7"/>
      <w:bookmarkStart w:id="348" w:name="Tc_qlLFC20nmkK8bCUliA7s0A_3_4"/>
      <w:bookmarkStart w:id="349" w:name="Tc_bsWCzc-We0GnhinW8JiMNA_3_2"/>
      <w:bookmarkStart w:id="350" w:name="Tc_Cwjv_GZIYEukjEd76EmAFA_2_10"/>
      <w:bookmarkStart w:id="351" w:name="Tc_6fJuMBmNRESHutNNbRdeYQ_2_4"/>
      <w:bookmarkStart w:id="352" w:name="Tc_Y-oYV6LeY0Sc9-2l5ezDpg_1_10"/>
      <w:bookmarkStart w:id="353" w:name="Tc_m1xU3cZb6EOV4Nv5hj4zaQ_1_4"/>
      <w:bookmarkStart w:id="354" w:name="_a9b9066a_8f26_4151_af90_fe74f82920d1"/>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p>
    <w:tbl>
      <w:tblPr>
        <w:tblW w:w="10205" w:type="dxa"/>
        <w:jc w:val="left"/>
        <w:tblInd w:w="0" w:type="dxa"/>
        <w:tblLayout w:type="fixed"/>
        <w:tblCellMar>
          <w:top w:w="0" w:type="dxa"/>
          <w:left w:w="0" w:type="dxa"/>
          <w:bottom w:w="0" w:type="dxa"/>
          <w:right w:w="0" w:type="dxa"/>
        </w:tblCellMar>
      </w:tblPr>
      <w:tblGrid>
        <w:gridCol w:w="3939"/>
        <w:gridCol w:w="346"/>
        <w:gridCol w:w="511"/>
        <w:gridCol w:w="346"/>
        <w:gridCol w:w="226"/>
        <w:gridCol w:w="768"/>
        <w:gridCol w:w="346"/>
        <w:gridCol w:w="226"/>
        <w:gridCol w:w="768"/>
        <w:gridCol w:w="346"/>
        <w:gridCol w:w="226"/>
        <w:gridCol w:w="768"/>
        <w:gridCol w:w="346"/>
        <w:gridCol w:w="226"/>
        <w:gridCol w:w="817"/>
      </w:tblGrid>
      <w:tr>
        <w:trPr/>
        <w:tc>
          <w:tcPr>
            <w:tcW w:w="39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501265" cy="175260"/>
                      <wp:effectExtent l="0" t="0" r="0" b="0"/>
                      <wp:wrapNone/>
                      <wp:docPr id="53" name="Frame46"/>
                      <a:graphic xmlns:a="http://schemas.openxmlformats.org/drawingml/2006/main">
                        <a:graphicData uri="http://schemas.microsoft.com/office/word/2010/wordprocessingShape">
                          <wps:wsp>
                            <wps:cNvSpPr txBox="1"/>
                            <wps:spPr>
                              <a:xfrm>
                                <a:off x="0" y="0"/>
                                <a:ext cx="25012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54"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324485" cy="175260"/>
                      <wp:effectExtent l="0" t="0" r="0" b="0"/>
                      <wp:wrapNone/>
                      <wp:docPr id="55" name="Frame48"/>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43510" cy="175260"/>
                      <wp:effectExtent l="0" t="0" r="0" b="0"/>
                      <wp:wrapNone/>
                      <wp:docPr id="57" name="Frame50"/>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87680" cy="175260"/>
                      <wp:effectExtent l="0" t="0" r="0" b="0"/>
                      <wp:wrapNone/>
                      <wp:docPr id="58" name="Frame51"/>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43510" cy="175260"/>
                      <wp:effectExtent l="0" t="0" r="0" b="0"/>
                      <wp:wrapNone/>
                      <wp:docPr id="60" name="Frame5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87680" cy="175260"/>
                      <wp:effectExtent l="0" t="0" r="0" b="0"/>
                      <wp:wrapNone/>
                      <wp:docPr id="61" name="Frame54"/>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62" name="Frame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43510" cy="175260"/>
                      <wp:effectExtent l="0" t="0" r="0" b="0"/>
                      <wp:wrapNone/>
                      <wp:docPr id="63" name="Frame5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87680" cy="175260"/>
                      <wp:effectExtent l="0" t="0" r="0" b="0"/>
                      <wp:wrapNone/>
                      <wp:docPr id="64" name="Frame57"/>
                      <a:graphic xmlns:a="http://schemas.openxmlformats.org/drawingml/2006/main">
                        <a:graphicData uri="http://schemas.microsoft.com/office/word/2010/wordprocessingShape">
                          <wps:wsp>
                            <wps:cNvSpPr txBox="1"/>
                            <wps:spPr>
                              <a:xfrm>
                                <a:off x="0" y="0"/>
                                <a:ext cx="487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65" name="Frame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43510" cy="175260"/>
                      <wp:effectExtent l="0" t="0" r="0" b="0"/>
                      <wp:wrapNone/>
                      <wp:docPr id="66" name="Frame5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18795" cy="175260"/>
                      <wp:effectExtent l="0" t="0" r="0" b="0"/>
                      <wp:wrapNone/>
                      <wp:docPr id="67" name="Frame60"/>
                      <a:graphic xmlns:a="http://schemas.openxmlformats.org/drawingml/2006/main">
                        <a:graphicData uri="http://schemas.microsoft.com/office/word/2010/wordprocessingShape">
                          <wps:wsp>
                            <wps:cNvSpPr txBox="1"/>
                            <wps:spPr>
                              <a:xfrm>
                                <a:off x="0" y="0"/>
                                <a:ext cx="518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233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w:t>
            </w:r>
          </w:p>
        </w:tc>
        <w:tc>
          <w:tcPr>
            <w:tcW w:w="346" w:type="dxa"/>
            <w:tcBorders/>
            <w:vAlign w:val="center"/>
          </w:tcPr>
          <w:p>
            <w:pPr>
              <w:pStyle w:val="TableContents"/>
              <w:bidi w:val="0"/>
              <w:spacing w:before="0" w:after="0"/>
              <w:ind w:left="0" w:right="0" w:hanging="0"/>
              <w:jc w:val="center"/>
              <w:rPr/>
            </w:pPr>
            <w:r>
              <w:rPr/>
              <w:t>  ​ ​ ​</w:t>
            </w:r>
          </w:p>
        </w:tc>
        <w:tc>
          <w:tcPr>
            <w:tcW w:w="2383"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w:t>
            </w:r>
          </w:p>
        </w:tc>
      </w:tr>
      <w:tr>
        <w:trPr/>
        <w:tc>
          <w:tcPr>
            <w:tcW w:w="39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33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30,</w:t>
            </w:r>
          </w:p>
        </w:tc>
        <w:tc>
          <w:tcPr>
            <w:tcW w:w="346" w:type="dxa"/>
            <w:tcBorders/>
            <w:vAlign w:val="center"/>
          </w:tcPr>
          <w:p>
            <w:pPr>
              <w:pStyle w:val="TableContents"/>
              <w:bidi w:val="0"/>
              <w:spacing w:before="0" w:after="0"/>
              <w:ind w:left="0" w:right="0" w:hanging="0"/>
              <w:jc w:val="center"/>
              <w:rPr/>
            </w:pPr>
            <w:r>
              <w:rPr/>
              <w:t>​</w:t>
            </w:r>
          </w:p>
        </w:tc>
        <w:tc>
          <w:tcPr>
            <w:tcW w:w="238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ended June 30,</w:t>
            </w:r>
          </w:p>
        </w:tc>
      </w:tr>
      <w:tr>
        <w:trPr/>
        <w:tc>
          <w:tcPr>
            <w:tcW w:w="39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1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0"/>
              <w:ind w:left="0" w:right="0" w:hanging="0"/>
              <w:jc w:val="center"/>
              <w:rPr/>
            </w:pPr>
            <w:r>
              <w:rPr/>
              <w:t>​</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7,675</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14,047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2,404</w:t>
            </w:r>
          </w:p>
        </w:tc>
      </w:tr>
      <w:tr>
        <w:trPr/>
        <w:tc>
          <w:tcPr>
            <w:tcW w:w="393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(3,091)</w:t>
            </w:r>
          </w:p>
        </w:tc>
        <w:tc>
          <w:tcPr>
            <w:tcW w:w="346" w:type="dxa"/>
            <w:tcBorders/>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(490)</w:t>
            </w:r>
          </w:p>
        </w:tc>
        <w:tc>
          <w:tcPr>
            <w:tcW w:w="346" w:type="dxa"/>
            <w:tcBorders/>
            <w:vAlign w:val="center"/>
          </w:tcPr>
          <w:p>
            <w:pPr>
              <w:pStyle w:val="TableContents"/>
              <w:bidi w:val="0"/>
              <w:spacing w:before="0" w:after="0"/>
              <w:ind w:left="0" w:right="0" w:hanging="0"/>
              <w:jc w:val="left"/>
              <w:rPr/>
            </w:pPr>
            <w:r>
              <w:rPr/>
              <w:t> </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(5,826)</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w:t>
            </w:r>
          </w:p>
        </w:tc>
      </w:tr>
      <w:tr>
        <w:trPr/>
        <w:tc>
          <w:tcPr>
            <w:tcW w:w="393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4,584</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8,221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1,508</w:t>
            </w:r>
          </w:p>
        </w:tc>
      </w:tr>
      <w:tr>
        <w:trPr/>
        <w:tc>
          <w:tcPr>
            <w:tcW w:w="393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(9,543)</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(18,347)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(19,048)</w:t>
            </w:r>
          </w:p>
        </w:tc>
      </w:tr>
      <w:tr>
        <w:trPr/>
        <w:tc>
          <w:tcPr>
            <w:tcW w:w="39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24</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(15,618)</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(30,992)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(23,063)</w:t>
            </w:r>
          </w:p>
        </w:tc>
      </w:tr>
      <w:tr>
        <w:trPr/>
        <w:tc>
          <w:tcPr>
            <w:tcW w:w="393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income/(expense)</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393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 for the period</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(20,588)</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(19,850)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(41,089)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(40,488)</w:t>
            </w:r>
          </w:p>
        </w:tc>
      </w:tr>
      <w:tr>
        <w:trPr/>
        <w:tc>
          <w:tcPr>
            <w:tcW w:w="393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income</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1,179</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5,480</w:t>
            </w:r>
          </w:p>
        </w:tc>
      </w:tr>
      <w:tr>
        <w:trPr/>
        <w:tc>
          <w:tcPr>
            <w:tcW w:w="39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(13,078)</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(7,579)</w:t>
            </w:r>
          </w:p>
        </w:tc>
      </w:tr>
      <w:tr>
        <w:trPr/>
        <w:tc>
          <w:tcPr>
            <w:tcW w:w="393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for the period before taxes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(32,487)</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(20,329)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(48,042)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(42,587)</w:t>
            </w:r>
          </w:p>
        </w:tc>
      </w:tr>
      <w:tr>
        <w:trPr/>
        <w:tc>
          <w:tcPr>
            <w:tcW w:w="39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taxes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(404)</w:t>
            </w:r>
          </w:p>
        </w:tc>
      </w:tr>
      <w:tr>
        <w:trPr/>
        <w:tc>
          <w:tcPr>
            <w:tcW w:w="393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for the period</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(32,964)</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(20,607)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(48,910)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(42,991)</w:t>
            </w:r>
          </w:p>
        </w:tc>
      </w:tr>
      <w:tr>
        <w:trPr/>
        <w:tc>
          <w:tcPr>
            <w:tcW w:w="39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pPr>
            <w:r>
              <w:rPr/>
              <w:t>​</w:t>
            </w:r>
          </w:p>
        </w:tc>
      </w:tr>
      <w:tr>
        <w:trPr/>
        <w:tc>
          <w:tcPr>
            <w:tcW w:w="393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attributable to equity holders</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(32,964)</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(20,607)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(48,910)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(42,991)</w:t>
            </w:r>
          </w:p>
        </w:tc>
      </w:tr>
      <w:tr>
        <w:trPr/>
        <w:tc>
          <w:tcPr>
            <w:tcW w:w="393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comprehensive loss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6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17" w:type="dxa"/>
            <w:tcBorders/>
            <w:shd w:fill="CCEEFF" w:val="clear"/>
            <w:vAlign w:val="center"/>
          </w:tcPr>
          <w:p>
            <w:pPr>
              <w:pStyle w:val="TableContents"/>
              <w:bidi w:val="0"/>
              <w:spacing w:before="0" w:after="0"/>
              <w:ind w:left="0" w:right="0" w:hanging="0"/>
              <w:jc w:val="right"/>
              <w:rPr/>
            </w:pPr>
            <w:r>
              <w:rPr/>
              <w:t>​</w:t>
            </w:r>
          </w:p>
        </w:tc>
      </w:tr>
      <w:tr>
        <w:trPr/>
        <w:tc>
          <w:tcPr>
            <w:tcW w:w="393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Items that may be subsequently reclassified to profit or loss (net of tax)</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r>
      <w:tr>
        <w:trPr/>
        <w:tc>
          <w:tcPr>
            <w:tcW w:w="39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Currency translation differences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393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loss for the year, net of tax</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(32,654)</w:t>
            </w:r>
          </w:p>
        </w:tc>
        <w:tc>
          <w:tcPr>
            <w:tcW w:w="346" w:type="dxa"/>
            <w:tcBorders/>
            <w:vAlign w:val="center"/>
          </w:tcPr>
          <w:p>
            <w:pPr>
              <w:pStyle w:val="TableContents"/>
              <w:bidi w:val="0"/>
              <w:spacing w:before="0" w:after="0"/>
              <w:ind w:left="0" w:right="0" w:hanging="0"/>
              <w:jc w:val="center"/>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(20,375)</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(48,909)</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(42,761)</w:t>
            </w:r>
          </w:p>
        </w:tc>
      </w:tr>
      <w:tr>
        <w:trPr/>
        <w:tc>
          <w:tcPr>
            <w:tcW w:w="393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attributable to equity holders</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(32,654)</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(20,375)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(48,909)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(42,761)</w:t>
            </w:r>
          </w:p>
        </w:tc>
      </w:tr>
      <w:tr>
        <w:trPr/>
        <w:tc>
          <w:tcPr>
            <w:tcW w:w="393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6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17" w:type="dxa"/>
            <w:tcBorders/>
            <w:vAlign w:val="center"/>
          </w:tcPr>
          <w:p>
            <w:pPr>
              <w:pStyle w:val="TableContents"/>
              <w:bidi w:val="0"/>
              <w:spacing w:before="0" w:after="0"/>
              <w:ind w:left="0" w:right="0" w:hanging="0"/>
              <w:jc w:val="right"/>
              <w:rPr/>
            </w:pPr>
            <w:r>
              <w:rPr/>
              <w:t>​</w:t>
            </w:r>
          </w:p>
        </w:tc>
      </w:tr>
      <w:tr>
        <w:trPr/>
        <w:tc>
          <w:tcPr>
            <w:tcW w:w="393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Loss Per Share (in EUR)</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(0.578)</w:t>
            </w:r>
          </w:p>
        </w:tc>
        <w:tc>
          <w:tcPr>
            <w:tcW w:w="346" w:type="dxa"/>
            <w:tcBorders/>
            <w:shd w:fill="CCEEFF" w:val="clear"/>
            <w:vAlign w:val="center"/>
          </w:tcPr>
          <w:p>
            <w:pPr>
              <w:pStyle w:val="TableContents"/>
              <w:bidi w:val="0"/>
              <w:spacing w:before="0" w:after="0"/>
              <w:ind w:left="0" w:right="0" w:hanging="0"/>
              <w:jc w:val="center"/>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393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Loss Per Share (in EUR)</w:t>
            </w:r>
          </w:p>
        </w:tc>
        <w:tc>
          <w:tcPr>
            <w:tcW w:w="346" w:type="dxa"/>
            <w:tcBorders/>
            <w:vAlign w:val="center"/>
          </w:tcPr>
          <w:p>
            <w:pPr>
              <w:pStyle w:val="TableContents"/>
              <w:bidi w:val="0"/>
              <w:spacing w:before="0" w:after="0"/>
              <w:ind w:left="0" w:right="0" w:hanging="0"/>
              <w:jc w:val="left"/>
              <w:rPr/>
            </w:pPr>
            <w:r>
              <w:rPr/>
              <w:t> </w:t>
            </w:r>
          </w:p>
        </w:tc>
        <w:tc>
          <w:tcPr>
            <w:tcW w:w="5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(0.578)</w:t>
            </w:r>
          </w:p>
        </w:tc>
        <w:tc>
          <w:tcPr>
            <w:tcW w:w="346" w:type="dxa"/>
            <w:tcBorders/>
            <w:vAlign w:val="center"/>
          </w:tcPr>
          <w:p>
            <w:pPr>
              <w:pStyle w:val="TableContents"/>
              <w:bidi w:val="0"/>
              <w:spacing w:before="0" w:after="0"/>
              <w:ind w:left="0" w:right="0" w:hanging="0"/>
              <w:jc w:val="center"/>
              <w:rPr/>
            </w:pPr>
            <w:r>
              <w:rPr/>
              <w:t>​</w:t>
            </w:r>
          </w:p>
        </w:tc>
        <w:tc>
          <w:tcPr>
            <w:tcW w:w="22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(0.976)</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355" w:name="_5c0c646f_76f0_4e01_8683_5bd92b304f23"/>
      <w:bookmarkEnd w:id="355"/>
      <w:r>
        <w:rPr>
          <w:rFonts w:ascii="Times New Roman;Times;serif" w:hAnsi="Times New Roman;Times;serif"/>
          <w:b/>
          <w:sz w:val="20"/>
        </w:rPr>
        <w:t>NYXOAH SA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INTERIM FINANCIAL INFORMATION AS AT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w:t>
      </w:r>
      <w:r>
        <w:rPr>
          <w:rFonts w:ascii="Times New Roman;Times;serif" w:hAnsi="Times New Roman;Times;serif"/>
          <w:b/>
          <w:caps/>
          <w:sz w:val="20"/>
        </w:rPr>
        <w:t>SIX</w:t>
      </w:r>
      <w:r>
        <w:rPr>
          <w:rFonts w:ascii="Times New Roman;Times;serif" w:hAnsi="Times New Roman;Times;serif"/>
          <w:b/>
          <w:sz w:val="20"/>
        </w:rPr>
        <w:t> MONTHS ENDED, JUNE 30, 2026 -</w:t>
      </w:r>
    </w:p>
    <w:p>
      <w:pPr>
        <w:pStyle w:val="TextBody"/>
        <w:bidi w:val="0"/>
        <w:spacing w:before="0" w:after="0"/>
        <w:ind w:left="0" w:right="0" w:hanging="0"/>
        <w:jc w:val="center"/>
        <w:rPr>
          <w:rFonts w:ascii="Times New Roman;Times;serif" w:hAnsi="Times New Roman;Times;serif"/>
          <w:b/>
          <w:sz w:val="20"/>
        </w:rPr>
      </w:pPr>
      <w:bookmarkStart w:id="356" w:name="INTERIMCONSOLIDATEDSTATEMENTSOFCHANGESIN"/>
      <w:bookmarkEnd w:id="356"/>
      <w:r>
        <w:rPr>
          <w:rFonts w:ascii="Times New Roman;Times;serif" w:hAnsi="Times New Roman;Times;serif"/>
          <w:b/>
          <w:sz w:val="20"/>
        </w:rPr>
        <w:t>INTERIM CONSOLIDATED STATEMENTS OF CHANGES IN EQUITY</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357" w:name="Tc_nBclLeWU6EioGrBFYBOFFA_19_17"/>
      <w:bookmarkStart w:id="358" w:name="Tc_0pLC2qDZ0UW5YmORct-8Lw_19_14"/>
      <w:bookmarkStart w:id="359" w:name="Tc_rCF2hG6--Uyy4GlVoOTeaA_19_11"/>
      <w:bookmarkStart w:id="360" w:name="Tc_6NBXguyVaUaZyCBsEKpHZQ_19_8"/>
      <w:bookmarkStart w:id="361" w:name="Tc_joiYpFYeRkCwPpqqHfYL9w_19_5"/>
      <w:bookmarkStart w:id="362" w:name="Tc_17Z3r2lGlEW2sG1WBuxHcQ_19_2"/>
      <w:bookmarkStart w:id="363" w:name="Tc_peEJFQ4VXkaxTckPVVlS2Q_19_0"/>
      <w:bookmarkStart w:id="364" w:name="Tc_CHE7-qVRuUOiUVzOCigQ8g_18_12"/>
      <w:bookmarkStart w:id="365" w:name="Tc_drXlNnuHmUWDNTsOXr1I3Q_18_0"/>
      <w:bookmarkStart w:id="366" w:name="Tc_p4QTdoM6v0Cu_-oq9ihw_Q_17_15"/>
      <w:bookmarkStart w:id="367" w:name="Tc_rGnnLMh6_U2nGhaDMHaJTA_17_12"/>
      <w:bookmarkStart w:id="368" w:name="Tc_L1sHB6zjhk6ZJrKUqbjXQA_17_9"/>
      <w:bookmarkStart w:id="369" w:name="Tc_JWtFRYaznUCavB9M1-gOgg_17_3"/>
      <w:bookmarkStart w:id="370" w:name="Tc_SIcPBDVkQUOwcVcZ3Nf5WQ_17_0"/>
      <w:bookmarkStart w:id="371" w:name="Tc_MyqLpHUvE0SLS8M-_cH9_g_16_15"/>
      <w:bookmarkStart w:id="372" w:name="Tc_5xOQMOARgEOqJIg6yngfmA_16_12"/>
      <w:bookmarkStart w:id="373" w:name="Tc_2tXcm3LyGUO_H7Jqe6b7fg_16_9"/>
      <w:bookmarkStart w:id="374" w:name="Tc_fMNjmAqEiEeRc-ZGZz0J_g_16_0"/>
      <w:bookmarkStart w:id="375" w:name="Tc_o-BR-umLtE2dknz4I26g8Q_15_15"/>
      <w:bookmarkStart w:id="376" w:name="Tc_qBpucCxgOE-Qg14kHsHFgQ_15_12"/>
      <w:bookmarkStart w:id="377" w:name="Tc_TIvWb3kD4U2ZeLCbFkgXKQ_15_9"/>
      <w:bookmarkStart w:id="378" w:name="Tc_zit8yZw7TUaoKnE8HpN4aA_15_0"/>
      <w:bookmarkStart w:id="379" w:name="Tc_NThjXMQce0uDgbcl04Ouzw_14_18"/>
      <w:bookmarkStart w:id="380" w:name="Tc_8Cqon42jNUe3xdiXRUTZ7A_14_12"/>
      <w:bookmarkStart w:id="381" w:name="Tc_HY9BHNBRrUuUZK-zIVHiAg_14_6"/>
      <w:bookmarkStart w:id="382" w:name="Tc_8bQIts4fcEiaWxOl2xGQjA_14_3"/>
      <w:bookmarkStart w:id="383" w:name="Tc_87ZFQy5QS0OLEHCixU4G-w_14_0"/>
      <w:bookmarkStart w:id="384" w:name="Tc_QT9FEagEkUmHhFlZSR1LIw_13_15"/>
      <w:bookmarkStart w:id="385" w:name="Tc_LH04dXMtuUCHyHIYK-zsZQ_13_12"/>
      <w:bookmarkStart w:id="386" w:name="Tc_c1GkLmfS1UShqVVUbEgsIQ_13_9"/>
      <w:bookmarkStart w:id="387" w:name="Tc_dqPFV52kTUGFRnChx3nkqg_13_0"/>
      <w:bookmarkStart w:id="388" w:name="Tc_KrrbKoLCL0S8xOJHrT78EA_12_18"/>
      <w:bookmarkStart w:id="389" w:name="Tc_1-kLD4JnJUGju6y0S5h1pg_12_12"/>
      <w:bookmarkStart w:id="390" w:name="Tc_GdhaAanl3kWmu4m-4CzalQ_12_6"/>
      <w:bookmarkStart w:id="391" w:name="Tc_EGibkdRgIUKQXHE9s83kmg_12_3"/>
      <w:bookmarkStart w:id="392" w:name="Tc_x_G0eN2VGU-bW8VgBjSKKg_12_0"/>
      <w:bookmarkStart w:id="393" w:name="Tc_5yawhoggDEaR8n49k2bQEg_11_15"/>
      <w:bookmarkStart w:id="394" w:name="Tc_Z0GCzh6enk63g-OibLfKFw_11_12"/>
      <w:bookmarkStart w:id="395" w:name="Tc_EhVvZwP6tk25wjZtWu0NCg_11_6"/>
      <w:bookmarkStart w:id="396" w:name="Tc_SA7SkunbLU6LOdXIFSrDig_11_3"/>
      <w:bookmarkStart w:id="397" w:name="Tc_GkUVUmCsbkWuxkE8mpdy3g_11_0"/>
      <w:bookmarkStart w:id="398" w:name="Tc_cyJMbmJLs0GEq0IL_tjepg_10_0"/>
      <w:bookmarkStart w:id="399" w:name="Tc_kff4S1k4_kGLeqexQOI78g_9_17"/>
      <w:bookmarkStart w:id="400" w:name="Tc_udMw1CKvhEurJZTqu4uDyw_9_14"/>
      <w:bookmarkStart w:id="401" w:name="Tc_uJn5zBUyZkuwuf1W3QJXwg_9_11"/>
      <w:bookmarkStart w:id="402" w:name="Tc_jQ7gdnnONUCfjzMec1kIDQ_9_9"/>
      <w:bookmarkStart w:id="403" w:name="Tc_BusJJLT_p0KKM3oknnnb9Q_9_6"/>
      <w:bookmarkStart w:id="404" w:name="Tc_ElRQbZ3RNEWDkfwuRdzZHA_9_3"/>
      <w:bookmarkStart w:id="405" w:name="Tc_NZIH2_d4BUiIZHI1_o_VtA_9_0"/>
      <w:bookmarkStart w:id="406" w:name="Tc_52RRzP6chUygjSpqhuaKEw_8_15"/>
      <w:bookmarkStart w:id="407" w:name="Tc_IRixr9fGTEaavWP54m93Gg_8_9"/>
      <w:bookmarkStart w:id="408" w:name="Tc_Hq-HwdVAFU-z_H0XtcU7Lw_8_6"/>
      <w:bookmarkStart w:id="409" w:name="Tc_PhVYwJJqxEajiyRhaNawNA_8_3"/>
      <w:bookmarkStart w:id="410" w:name="Tc_k5G_0G7oG06nO4PiAkXn7w_8_0"/>
      <w:bookmarkStart w:id="411" w:name="Tc_lhO1RZpfSEOFOVW_AgtEzg_7_12"/>
      <w:bookmarkStart w:id="412" w:name="Tc_77TxMurhFUOq9bmAaa40EA_7_9"/>
      <w:bookmarkStart w:id="413" w:name="Tc_NgnvotqlYEmY0sJvbKeasQ_7_6"/>
      <w:bookmarkStart w:id="414" w:name="Tc_EwBCjwHkak-MuB9blUr6Jw_7_3"/>
      <w:bookmarkStart w:id="415" w:name="Tc_lanckgr8aEiokdTNZZnY3w_7_0"/>
      <w:bookmarkStart w:id="416" w:name="Tc_0mmz86ch1EaqS7GQJtgNDQ_6_17"/>
      <w:bookmarkStart w:id="417" w:name="Tc_zRHNgUZRsUC3OXzuomH-vw_6_14"/>
      <w:bookmarkStart w:id="418" w:name="Tc_9FkhEW1iV0OK_s5gPwvAOw_6_11"/>
      <w:bookmarkStart w:id="419" w:name="Tc_oZUkdG1IGkq_a97MwMuVWw_6_8"/>
      <w:bookmarkStart w:id="420" w:name="Tc_OWEQFVGL-E-tWpxv5VR7tQ_6_5"/>
      <w:bookmarkStart w:id="421" w:name="Tc_zAexMOwNKU25VzuoM_-o1g_6_2"/>
      <w:bookmarkStart w:id="422" w:name="Tc_8LGUFVfQIU6F4fn-nvnu8w_6_0"/>
      <w:bookmarkStart w:id="423" w:name="Tc__Cis_j1mIEKXKGRlFnaYGg_5_17"/>
      <w:bookmarkStart w:id="424" w:name="Tc_KnwBPiVJBUeK5aGGWkkg8w_5_14"/>
      <w:bookmarkStart w:id="425" w:name="Tc_0vdZy4BrP0Kpp47zR-qRmQ_5_11"/>
      <w:bookmarkStart w:id="426" w:name="Tc_IHrSHfSJjUCGrXEJ7doEKg_5_8"/>
      <w:bookmarkStart w:id="427" w:name="Tc_Ywjcgmwr0kiichnhS0Uf7A_5_5"/>
      <w:bookmarkStart w:id="428" w:name="Tc_VeURUsu5NEaHBmhXLBE-mA_5_2"/>
      <w:bookmarkStart w:id="429" w:name="Tc_dCxgd0wQLkOkWJBIeK_AkQ_4_14"/>
      <w:bookmarkStart w:id="430" w:name="Tc_Ft-93J8dAUCLIZ3iA-btHw_4_11"/>
      <w:bookmarkStart w:id="431" w:name="Tc_Y2MtIYtnx0WccOeH0PozEQ_4_8"/>
      <w:bookmarkStart w:id="432" w:name="Tc_uDvcjcM_QEawmczxiGkErQ_4_5"/>
      <w:bookmarkStart w:id="433" w:name="Tc_cLPtkUs-9ka_UXHyymkBEg_4_2"/>
      <w:bookmarkStart w:id="434" w:name="Tc_pzBXLIxULECPif_-BTGd-w_3_11"/>
      <w:bookmarkStart w:id="435" w:name="Tc_mliiUrdlY0OhuWCgvIn6Ow_3_8"/>
      <w:bookmarkStart w:id="436" w:name="Tc_F5niKLgifE-oqwVql_rVwA_2_8"/>
      <w:bookmarkStart w:id="437" w:name="Tc_51Mc8RQAUU-ftu1eCEH26Q_1_2"/>
      <w:bookmarkStart w:id="438" w:name="_152acf70_6fb8_447f_90ab_b2f0864a6cf7"/>
      <w:bookmarkStart w:id="439" w:name="Tc_nBclLeWU6EioGrBFYBOFFA_19_17"/>
      <w:bookmarkStart w:id="440" w:name="Tc_0pLC2qDZ0UW5YmORct-8Lw_19_14"/>
      <w:bookmarkStart w:id="441" w:name="Tc_rCF2hG6--Uyy4GlVoOTeaA_19_11"/>
      <w:bookmarkStart w:id="442" w:name="Tc_6NBXguyVaUaZyCBsEKpHZQ_19_8"/>
      <w:bookmarkStart w:id="443" w:name="Tc_joiYpFYeRkCwPpqqHfYL9w_19_5"/>
      <w:bookmarkStart w:id="444" w:name="Tc_17Z3r2lGlEW2sG1WBuxHcQ_19_2"/>
      <w:bookmarkStart w:id="445" w:name="Tc_peEJFQ4VXkaxTckPVVlS2Q_19_0"/>
      <w:bookmarkStart w:id="446" w:name="Tc_CHE7-qVRuUOiUVzOCigQ8g_18_12"/>
      <w:bookmarkStart w:id="447" w:name="Tc_drXlNnuHmUWDNTsOXr1I3Q_18_0"/>
      <w:bookmarkStart w:id="448" w:name="Tc_p4QTdoM6v0Cu_-oq9ihw_Q_17_15"/>
      <w:bookmarkStart w:id="449" w:name="Tc_rGnnLMh6_U2nGhaDMHaJTA_17_12"/>
      <w:bookmarkStart w:id="450" w:name="Tc_L1sHB6zjhk6ZJrKUqbjXQA_17_9"/>
      <w:bookmarkStart w:id="451" w:name="Tc_JWtFRYaznUCavB9M1-gOgg_17_3"/>
      <w:bookmarkStart w:id="452" w:name="Tc_SIcPBDVkQUOwcVcZ3Nf5WQ_17_0"/>
      <w:bookmarkStart w:id="453" w:name="Tc_MyqLpHUvE0SLS8M-_cH9_g_16_15"/>
      <w:bookmarkStart w:id="454" w:name="Tc_5xOQMOARgEOqJIg6yngfmA_16_12"/>
      <w:bookmarkStart w:id="455" w:name="Tc_2tXcm3LyGUO_H7Jqe6b7fg_16_9"/>
      <w:bookmarkStart w:id="456" w:name="Tc_fMNjmAqEiEeRc-ZGZz0J_g_16_0"/>
      <w:bookmarkStart w:id="457" w:name="Tc_o-BR-umLtE2dknz4I26g8Q_15_15"/>
      <w:bookmarkStart w:id="458" w:name="Tc_qBpucCxgOE-Qg14kHsHFgQ_15_12"/>
      <w:bookmarkStart w:id="459" w:name="Tc_TIvWb3kD4U2ZeLCbFkgXKQ_15_9"/>
      <w:bookmarkStart w:id="460" w:name="Tc_zit8yZw7TUaoKnE8HpN4aA_15_0"/>
      <w:bookmarkStart w:id="461" w:name="Tc_NThjXMQce0uDgbcl04Ouzw_14_18"/>
      <w:bookmarkStart w:id="462" w:name="Tc_8Cqon42jNUe3xdiXRUTZ7A_14_12"/>
      <w:bookmarkStart w:id="463" w:name="Tc_HY9BHNBRrUuUZK-zIVHiAg_14_6"/>
      <w:bookmarkStart w:id="464" w:name="Tc_8bQIts4fcEiaWxOl2xGQjA_14_3"/>
      <w:bookmarkStart w:id="465" w:name="Tc_87ZFQy5QS0OLEHCixU4G-w_14_0"/>
      <w:bookmarkStart w:id="466" w:name="Tc_QT9FEagEkUmHhFlZSR1LIw_13_15"/>
      <w:bookmarkStart w:id="467" w:name="Tc_LH04dXMtuUCHyHIYK-zsZQ_13_12"/>
      <w:bookmarkStart w:id="468" w:name="Tc_c1GkLmfS1UShqVVUbEgsIQ_13_9"/>
      <w:bookmarkStart w:id="469" w:name="Tc_dqPFV52kTUGFRnChx3nkqg_13_0"/>
      <w:bookmarkStart w:id="470" w:name="Tc_KrrbKoLCL0S8xOJHrT78EA_12_18"/>
      <w:bookmarkStart w:id="471" w:name="Tc_1-kLD4JnJUGju6y0S5h1pg_12_12"/>
      <w:bookmarkStart w:id="472" w:name="Tc_GdhaAanl3kWmu4m-4CzalQ_12_6"/>
      <w:bookmarkStart w:id="473" w:name="Tc_EGibkdRgIUKQXHE9s83kmg_12_3"/>
      <w:bookmarkStart w:id="474" w:name="Tc_x_G0eN2VGU-bW8VgBjSKKg_12_0"/>
      <w:bookmarkStart w:id="475" w:name="Tc_5yawhoggDEaR8n49k2bQEg_11_15"/>
      <w:bookmarkStart w:id="476" w:name="Tc_Z0GCzh6enk63g-OibLfKFw_11_12"/>
      <w:bookmarkStart w:id="477" w:name="Tc_EhVvZwP6tk25wjZtWu0NCg_11_6"/>
      <w:bookmarkStart w:id="478" w:name="Tc_SA7SkunbLU6LOdXIFSrDig_11_3"/>
      <w:bookmarkStart w:id="479" w:name="Tc_GkUVUmCsbkWuxkE8mpdy3g_11_0"/>
      <w:bookmarkStart w:id="480" w:name="Tc_cyJMbmJLs0GEq0IL_tjepg_10_0"/>
      <w:bookmarkStart w:id="481" w:name="Tc_kff4S1k4_kGLeqexQOI78g_9_17"/>
      <w:bookmarkStart w:id="482" w:name="Tc_udMw1CKvhEurJZTqu4uDyw_9_14"/>
      <w:bookmarkStart w:id="483" w:name="Tc_uJn5zBUyZkuwuf1W3QJXwg_9_11"/>
      <w:bookmarkStart w:id="484" w:name="Tc_jQ7gdnnONUCfjzMec1kIDQ_9_9"/>
      <w:bookmarkStart w:id="485" w:name="Tc_BusJJLT_p0KKM3oknnnb9Q_9_6"/>
      <w:bookmarkStart w:id="486" w:name="Tc_ElRQbZ3RNEWDkfwuRdzZHA_9_3"/>
      <w:bookmarkStart w:id="487" w:name="Tc_NZIH2_d4BUiIZHI1_o_VtA_9_0"/>
      <w:bookmarkStart w:id="488" w:name="Tc_52RRzP6chUygjSpqhuaKEw_8_15"/>
      <w:bookmarkStart w:id="489" w:name="Tc_IRixr9fGTEaavWP54m93Gg_8_9"/>
      <w:bookmarkStart w:id="490" w:name="Tc_Hq-HwdVAFU-z_H0XtcU7Lw_8_6"/>
      <w:bookmarkStart w:id="491" w:name="Tc_PhVYwJJqxEajiyRhaNawNA_8_3"/>
      <w:bookmarkStart w:id="492" w:name="Tc_k5G_0G7oG06nO4PiAkXn7w_8_0"/>
      <w:bookmarkStart w:id="493" w:name="Tc_lhO1RZpfSEOFOVW_AgtEzg_7_12"/>
      <w:bookmarkStart w:id="494" w:name="Tc_77TxMurhFUOq9bmAaa40EA_7_9"/>
      <w:bookmarkStart w:id="495" w:name="Tc_NgnvotqlYEmY0sJvbKeasQ_7_6"/>
      <w:bookmarkStart w:id="496" w:name="Tc_EwBCjwHkak-MuB9blUr6Jw_7_3"/>
      <w:bookmarkStart w:id="497" w:name="Tc_lanckgr8aEiokdTNZZnY3w_7_0"/>
      <w:bookmarkStart w:id="498" w:name="Tc_0mmz86ch1EaqS7GQJtgNDQ_6_17"/>
      <w:bookmarkStart w:id="499" w:name="Tc_zRHNgUZRsUC3OXzuomH-vw_6_14"/>
      <w:bookmarkStart w:id="500" w:name="Tc_9FkhEW1iV0OK_s5gPwvAOw_6_11"/>
      <w:bookmarkStart w:id="501" w:name="Tc_oZUkdG1IGkq_a97MwMuVWw_6_8"/>
      <w:bookmarkStart w:id="502" w:name="Tc_OWEQFVGL-E-tWpxv5VR7tQ_6_5"/>
      <w:bookmarkStart w:id="503" w:name="Tc_zAexMOwNKU25VzuoM_-o1g_6_2"/>
      <w:bookmarkStart w:id="504" w:name="Tc_8LGUFVfQIU6F4fn-nvnu8w_6_0"/>
      <w:bookmarkStart w:id="505" w:name="Tc__Cis_j1mIEKXKGRlFnaYGg_5_17"/>
      <w:bookmarkStart w:id="506" w:name="Tc_KnwBPiVJBUeK5aGGWkkg8w_5_14"/>
      <w:bookmarkStart w:id="507" w:name="Tc_0vdZy4BrP0Kpp47zR-qRmQ_5_11"/>
      <w:bookmarkStart w:id="508" w:name="Tc_IHrSHfSJjUCGrXEJ7doEKg_5_8"/>
      <w:bookmarkStart w:id="509" w:name="Tc_Ywjcgmwr0kiichnhS0Uf7A_5_5"/>
      <w:bookmarkStart w:id="510" w:name="Tc_VeURUsu5NEaHBmhXLBE-mA_5_2"/>
      <w:bookmarkStart w:id="511" w:name="Tc_dCxgd0wQLkOkWJBIeK_AkQ_4_14"/>
      <w:bookmarkStart w:id="512" w:name="Tc_Ft-93J8dAUCLIZ3iA-btHw_4_11"/>
      <w:bookmarkStart w:id="513" w:name="Tc_Y2MtIYtnx0WccOeH0PozEQ_4_8"/>
      <w:bookmarkStart w:id="514" w:name="Tc_uDvcjcM_QEawmczxiGkErQ_4_5"/>
      <w:bookmarkStart w:id="515" w:name="Tc_cLPtkUs-9ka_UXHyymkBEg_4_2"/>
      <w:bookmarkStart w:id="516" w:name="Tc_pzBXLIxULECPif_-BTGd-w_3_11"/>
      <w:bookmarkStart w:id="517" w:name="Tc_mliiUrdlY0OhuWCgvIn6Ow_3_8"/>
      <w:bookmarkStart w:id="518" w:name="Tc_F5niKLgifE-oqwVql_rVwA_2_8"/>
      <w:bookmarkStart w:id="519" w:name="Tc_51Mc8RQAUU-ftu1eCEH26Q_1_2"/>
      <w:bookmarkStart w:id="520" w:name="_152acf70_6fb8_447f_90ab_b2f0864a6cf7"/>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tbl>
      <w:tblPr>
        <w:tblW w:w="10205" w:type="dxa"/>
        <w:jc w:val="left"/>
        <w:tblInd w:w="0" w:type="dxa"/>
        <w:tblLayout w:type="fixed"/>
        <w:tblCellMar>
          <w:top w:w="0" w:type="dxa"/>
          <w:left w:w="0" w:type="dxa"/>
          <w:bottom w:w="0" w:type="dxa"/>
          <w:right w:w="0" w:type="dxa"/>
        </w:tblCellMar>
      </w:tblPr>
      <w:tblGrid>
        <w:gridCol w:w="2160"/>
        <w:gridCol w:w="346"/>
        <w:gridCol w:w="226"/>
        <w:gridCol w:w="571"/>
        <w:gridCol w:w="346"/>
        <w:gridCol w:w="226"/>
        <w:gridCol w:w="781"/>
        <w:gridCol w:w="346"/>
        <w:gridCol w:w="226"/>
        <w:gridCol w:w="676"/>
        <w:gridCol w:w="346"/>
        <w:gridCol w:w="332"/>
        <w:gridCol w:w="839"/>
        <w:gridCol w:w="346"/>
        <w:gridCol w:w="226"/>
        <w:gridCol w:w="849"/>
        <w:gridCol w:w="346"/>
        <w:gridCol w:w="226"/>
        <w:gridCol w:w="791"/>
      </w:tblGrid>
      <w:tr>
        <w:trPr/>
        <w:tc>
          <w:tcPr>
            <w:tcW w:w="21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371600" cy="175260"/>
                      <wp:effectExtent l="0" t="0" r="0" b="0"/>
                      <wp:wrapNone/>
                      <wp:docPr id="68" name="Frame61"/>
                      <a:graphic xmlns:a="http://schemas.openxmlformats.org/drawingml/2006/main">
                        <a:graphicData uri="http://schemas.microsoft.com/office/word/2010/wordprocessingShape">
                          <wps:wsp>
                            <wps:cNvSpPr txBox="1"/>
                            <wps:spPr>
                              <a:xfrm>
                                <a:off x="0" y="0"/>
                                <a:ext cx="13716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219710" cy="175260"/>
                      <wp:effectExtent l="0" t="0" r="0" b="0"/>
                      <wp:wrapNone/>
                      <wp:docPr id="69"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43510" cy="175260"/>
                      <wp:effectExtent l="0" t="0" r="0" b="0"/>
                      <wp:wrapNone/>
                      <wp:docPr id="70" name="Frame6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362585" cy="175260"/>
                      <wp:effectExtent l="0" t="0" r="0" b="0"/>
                      <wp:wrapNone/>
                      <wp:docPr id="71" name="Frame6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72" name="Frame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43510" cy="175260"/>
                      <wp:effectExtent l="0" t="0" r="0" b="0"/>
                      <wp:wrapNone/>
                      <wp:docPr id="73" name="Frame6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95935" cy="175260"/>
                      <wp:effectExtent l="0" t="0" r="0" b="0"/>
                      <wp:wrapNone/>
                      <wp:docPr id="74" name="Frame6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75" name="Frame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3510" cy="175260"/>
                      <wp:effectExtent l="0" t="0" r="0" b="0"/>
                      <wp:wrapNone/>
                      <wp:docPr id="76" name="Frame69"/>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29260" cy="175260"/>
                      <wp:effectExtent l="0" t="0" r="0" b="0"/>
                      <wp:wrapNone/>
                      <wp:docPr id="77" name="Frame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19710" cy="175260"/>
                      <wp:effectExtent l="0" t="0" r="0" b="0"/>
                      <wp:wrapNone/>
                      <wp:docPr id="78"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0820" cy="175260"/>
                      <wp:effectExtent l="0" t="0" r="0" b="0"/>
                      <wp:wrapNone/>
                      <wp:docPr id="79" name="Frame72"/>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532765" cy="175260"/>
                      <wp:effectExtent l="0" t="0" r="0" b="0"/>
                      <wp:wrapNone/>
                      <wp:docPr id="80" name="Frame73"/>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19710" cy="175260"/>
                      <wp:effectExtent l="0" t="0" r="0" b="0"/>
                      <wp:wrapNone/>
                      <wp:docPr id="81"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43510" cy="175260"/>
                      <wp:effectExtent l="0" t="0" r="0" b="0"/>
                      <wp:wrapNone/>
                      <wp:docPr id="82" name="Frame7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539115" cy="175260"/>
                      <wp:effectExtent l="0" t="0" r="0" b="0"/>
                      <wp:wrapNone/>
                      <wp:docPr id="83" name="Frame76"/>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19710" cy="175260"/>
                      <wp:effectExtent l="0" t="0" r="0" b="0"/>
                      <wp:wrapNone/>
                      <wp:docPr id="84"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43510" cy="175260"/>
                      <wp:effectExtent l="0" t="0" r="0" b="0"/>
                      <wp:wrapNone/>
                      <wp:docPr id="85" name="Frame7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02285" cy="175260"/>
                      <wp:effectExtent l="0" t="0" r="0" b="0"/>
                      <wp:wrapNone/>
                      <wp:docPr id="86" name="Frame7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699"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Attributable to owners of the parent</w:t>
            </w:r>
          </w:p>
        </w:tc>
      </w:tr>
      <w:tr>
        <w:trPr/>
        <w:tc>
          <w:tcPr>
            <w:tcW w:w="21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21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based</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21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2160"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0"/>
              <w:ind w:left="0" w:right="0" w:hanging="0"/>
              <w:jc w:val="left"/>
              <w:rPr/>
            </w:pPr>
            <w:r>
              <w:rPr/>
              <w:t>  ​ ​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10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6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January 1, 2026</w:t>
            </w:r>
          </w:p>
        </w:tc>
        <w:tc>
          <w:tcPr>
            <w:tcW w:w="346"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6,505</w:t>
            </w:r>
          </w:p>
        </w:tc>
        <w:tc>
          <w:tcPr>
            <w:tcW w:w="346"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335,134</w:t>
            </w:r>
          </w:p>
        </w:tc>
        <w:tc>
          <w:tcPr>
            <w:tcW w:w="346"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12,395</w:t>
            </w:r>
          </w:p>
        </w:tc>
        <w:tc>
          <w:tcPr>
            <w:tcW w:w="346" w:type="dxa"/>
            <w:tcBorders/>
            <w:shd w:fill="CCEEFF" w:val="clear"/>
            <w:vAlign w:val="center"/>
          </w:tcPr>
          <w:p>
            <w:pPr>
              <w:pStyle w:val="TableContents"/>
              <w:bidi w:val="0"/>
              <w:spacing w:before="0" w:after="0"/>
              <w:ind w:left="0" w:right="0" w:hanging="0"/>
              <w:jc w:val="left"/>
              <w:rPr/>
            </w:pPr>
            <w:r>
              <w:rPr/>
              <w:t>  ​ ​ ​</w:t>
            </w:r>
          </w:p>
        </w:tc>
        <w:tc>
          <w:tcPr>
            <w:tcW w:w="332"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1,124</w:t>
            </w:r>
          </w:p>
        </w:tc>
        <w:tc>
          <w:tcPr>
            <w:tcW w:w="346"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(306,029)</w:t>
            </w:r>
          </w:p>
        </w:tc>
        <w:tc>
          <w:tcPr>
            <w:tcW w:w="346" w:type="dxa"/>
            <w:tcBorders/>
            <w:shd w:fill="CCEEFF" w:val="clear"/>
            <w:vAlign w:val="center"/>
          </w:tcPr>
          <w:p>
            <w:pPr>
              <w:pStyle w:val="TableContents"/>
              <w:bidi w:val="0"/>
              <w:spacing w:before="0" w:after="0"/>
              <w:ind w:left="0" w:right="0" w:hanging="0"/>
              <w:jc w:val="left"/>
              <w:rPr/>
            </w:pPr>
            <w:r>
              <w:rPr/>
              <w:t>  ​ ​ ​</w:t>
            </w:r>
          </w:p>
        </w:tc>
        <w:tc>
          <w:tcPr>
            <w:tcW w:w="22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49,129</w:t>
            </w:r>
          </w:p>
        </w:tc>
      </w:tr>
      <w:tr>
        <w:trPr/>
        <w:tc>
          <w:tcPr>
            <w:tcW w:w="216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for the period</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(48,910)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(48,910)</w:t>
            </w:r>
          </w:p>
        </w:tc>
      </w:tr>
      <w:tr>
        <w:trPr/>
        <w:tc>
          <w:tcPr>
            <w:tcW w:w="21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for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16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loss for the period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(48,910)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(48,909)</w:t>
            </w:r>
          </w:p>
        </w:tc>
      </w:tr>
      <w:tr>
        <w:trPr/>
        <w:tc>
          <w:tcPr>
            <w:tcW w:w="21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Equity-settled share-based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  ​</w:t>
            </w:r>
          </w:p>
        </w:tc>
      </w:tr>
      <w:tr>
        <w:trPr/>
        <w:tc>
          <w:tcPr>
            <w:tcW w:w="216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during the period</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w:t>
            </w:r>
          </w:p>
        </w:tc>
      </w:tr>
      <w:tr>
        <w:trPr/>
        <w:tc>
          <w:tcPr>
            <w:tcW w:w="21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216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 during the period</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1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Impact modification vested RSUs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1" w:type="dxa"/>
            <w:tcBorders/>
            <w:shd w:fill="CCEEFF" w:val="clear"/>
            <w:vAlign w:val="center"/>
          </w:tcPr>
          <w:p>
            <w:pPr>
              <w:pStyle w:val="TableContents"/>
              <w:bidi w:val="0"/>
              <w:spacing w:before="0" w:after="0"/>
              <w:ind w:left="0" w:right="0" w:hanging="0"/>
              <w:jc w:val="right"/>
              <w:rPr/>
            </w:pPr>
            <w:r>
              <w:rPr/>
              <w:t>—</w:t>
            </w:r>
          </w:p>
        </w:tc>
      </w:tr>
      <w:tr>
        <w:trPr/>
        <w:tc>
          <w:tcPr>
            <w:tcW w:w="216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on conversion of convertible bond</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r>
      <w:tr>
        <w:trPr/>
        <w:tc>
          <w:tcPr>
            <w:tcW w:w="216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shares for cash</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81,123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81,675</w:t>
            </w:r>
          </w:p>
        </w:tc>
      </w:tr>
      <w:tr>
        <w:trPr/>
        <w:tc>
          <w:tcPr>
            <w:tcW w:w="216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(5,659)</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(5,659)</w:t>
            </w:r>
          </w:p>
        </w:tc>
      </w:tr>
      <w:tr>
        <w:trPr/>
        <w:tc>
          <w:tcPr>
            <w:tcW w:w="216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transactions with owners of the company recognized directly in equity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570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79,877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1,073</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82,889</w:t>
            </w:r>
          </w:p>
        </w:tc>
      </w:tr>
      <w:tr>
        <w:trPr/>
        <w:tc>
          <w:tcPr>
            <w:tcW w:w="216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7,075</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415,011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13,468</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1,125</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(353,570)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83,109</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521" w:name="Tc_GIM6mc4Ok0qcyKJfC7MDNA_15_17"/>
      <w:bookmarkStart w:id="522" w:name="Tc_3rFBdNCL3UGOYr1_09GgKw_15_14"/>
      <w:bookmarkStart w:id="523" w:name="Tc_dRZpaM_JVEuYaKJpXe6jbg_15_11"/>
      <w:bookmarkStart w:id="524" w:name="Tc_Aq0MoO-NrkqeSM2Dy9fz-A_15_8"/>
      <w:bookmarkStart w:id="525" w:name="Tc_7-4gzYFZzUS49yqStTGw6Q_15_5"/>
      <w:bookmarkStart w:id="526" w:name="Tc_pvK5rBrEKUqaYgWUca0w_A_15_2"/>
      <w:bookmarkStart w:id="527" w:name="Tc_B4tEh5N4tk-mWuohi1TZvQ_15_0"/>
      <w:bookmarkStart w:id="528" w:name="Tc_0ebA5YJFNkWvItSQsCuCxg_14_12"/>
      <w:bookmarkStart w:id="529" w:name="Tc_nnpp_PIDeU64Q2lujz5bKQ_14_0"/>
      <w:bookmarkStart w:id="530" w:name="Tc_jwrNR24ZCkOBSSyAAlo77w_13_12"/>
      <w:bookmarkStart w:id="531" w:name="Tc_VUGM7pkg4UaIdB9JB-RnzA_13_0"/>
      <w:bookmarkStart w:id="532" w:name="Tc_CzyTuKgCV0OgC6qQOqnAEg_12_18"/>
      <w:bookmarkStart w:id="533" w:name="Tc_FIo_48zHGEmkTQIoxUk0PQ_12_12"/>
      <w:bookmarkStart w:id="534" w:name="Tc_OWsRJCN5AUCSYvIScozWUw_12_6"/>
      <w:bookmarkStart w:id="535" w:name="Tc_eEdIs9ujkkCi9nnbl4JQsA_12_3"/>
      <w:bookmarkStart w:id="536" w:name="Tc__kzWa9rR6U2o5JH9dZ_3Hg_12_0"/>
      <w:bookmarkStart w:id="537" w:name="Tc_hLcaB47AC0yGZjZgvqx7gw_11_15"/>
      <w:bookmarkStart w:id="538" w:name="Tc_XOpCntbxTUO8b48Yf1-nrw_11_12"/>
      <w:bookmarkStart w:id="539" w:name="Tc_BSMFiLxnSUSKhdsC0_QhkA_11_6"/>
      <w:bookmarkStart w:id="540" w:name="Tc_P2Gea-yOhkKV0EIIfMMHSQ_11_3"/>
      <w:bookmarkStart w:id="541" w:name="Tc_SlkGqP5GN0qYyKEavAVqfw_11_0"/>
      <w:bookmarkStart w:id="542" w:name="Tc_TD3-S4WxyECd0Iwznq4AwA_10_0"/>
      <w:bookmarkStart w:id="543" w:name="Tc_Y9AeLS6Ch0GT5Mv9mCbbOQ_9_17"/>
      <w:bookmarkStart w:id="544" w:name="Tc_VPVm096SY06EijyN9Teo0w_9_14"/>
      <w:bookmarkStart w:id="545" w:name="Tc_Cc-VFTmd7Eqz0LuxfX-eQQ_9_11"/>
      <w:bookmarkStart w:id="546" w:name="Tc_l_AeCYDlhkaDUhM6WCbDRA_9_9"/>
      <w:bookmarkStart w:id="547" w:name="Tc_PazEhSCgN0yB_6w5IcXjRA_9_6"/>
      <w:bookmarkStart w:id="548" w:name="Tc_qMVTg_kQd0WHA50nXdCGSA_9_3"/>
      <w:bookmarkStart w:id="549" w:name="Tc_KpsUEUK3zUabQjkQKWw13A_9_0"/>
      <w:bookmarkStart w:id="550" w:name="Tc_ejTiYNCS6EC6xf_MlFhVvg_8_15"/>
      <w:bookmarkStart w:id="551" w:name="Tc_gn7M-QvHVkS7rDeXQEyt0A_8_9"/>
      <w:bookmarkStart w:id="552" w:name="Tc_NepLD0nR7ECaYZjfPcOI_w_8_6"/>
      <w:bookmarkStart w:id="553" w:name="Tc_BWmjtBHrK0WlgR-rsJvlnQ_8_3"/>
      <w:bookmarkStart w:id="554" w:name="Tc_ZOanfm3izUa3kGGHw4cpig_8_0"/>
      <w:bookmarkStart w:id="555" w:name="Tc_04VMKdTCOEikFgU8aard7Q_7_12"/>
      <w:bookmarkStart w:id="556" w:name="Tc_1mxMP3hSrkyxvgTe8dbZsQ_7_9"/>
      <w:bookmarkStart w:id="557" w:name="Tc_X0Q7euBNEkuYT1l3h6gfkA_7_6"/>
      <w:bookmarkStart w:id="558" w:name="Tc_RZEDWGy8Bkqc3zo34U_toQ_7_3"/>
      <w:bookmarkStart w:id="559" w:name="Tc_SYn4kODBSEChk3KIE98m2Q_7_0"/>
      <w:bookmarkStart w:id="560" w:name="Tc_whZPtiZhTkG2ovwll-s-Vw_6_17"/>
      <w:bookmarkStart w:id="561" w:name="Tc_CTYJpHqLaEWpLRrzveWeIA_6_14"/>
      <w:bookmarkStart w:id="562" w:name="Tc_gziO40F5006K3Fsmaee9mw_6_11"/>
      <w:bookmarkStart w:id="563" w:name="Tc_TJNGgutjqEKarpdrwUqYtg_6_8"/>
      <w:bookmarkStart w:id="564" w:name="Tc_uAbBGlmxlECA4-eENPu78Q_6_5"/>
      <w:bookmarkStart w:id="565" w:name="Tc_origh23suUaC2eT4iK9kmg_6_2"/>
      <w:bookmarkStart w:id="566" w:name="Tc_ouHi6U_vMU6nR61tmMuWSQ_6_0"/>
      <w:bookmarkStart w:id="567" w:name="Tc_VL6YhRZVDk2HY_INMgGr1Q_5_17"/>
      <w:bookmarkStart w:id="568" w:name="Tc_vZCtNOIsL0eDmcJnHTFdRA_5_14"/>
      <w:bookmarkStart w:id="569" w:name="Tc_msPDP6879ESFIKTbQlu5pQ_5_11"/>
      <w:bookmarkStart w:id="570" w:name="Tc_0x5FyMbW7kSyx1TJbgR-mQ_5_8"/>
      <w:bookmarkStart w:id="571" w:name="Tc_NwL_5kesRUiOuL2Hq2lm5g_5_5"/>
      <w:bookmarkStart w:id="572" w:name="Tc_zAJUSP_Iv0Ki36M55KDcUw_5_2"/>
      <w:bookmarkStart w:id="573" w:name="Tc_PwVNmo5Ru060qljSGCQosA_4_14"/>
      <w:bookmarkStart w:id="574" w:name="Tc_gyL5B3kGuEWw8mR9Mo-bQA_4_11"/>
      <w:bookmarkStart w:id="575" w:name="Tc_KO2vodwcBUCBfqrS-JsuIw_4_8"/>
      <w:bookmarkStart w:id="576" w:name="Tc_Jt6TKzN3EEW_dIyYheF3jw_4_5"/>
      <w:bookmarkStart w:id="577" w:name="Tc_yd3FRAUVcECyWfj6niCpHQ_4_2"/>
      <w:bookmarkStart w:id="578" w:name="Tc_NSNodjnXxEyKed1gRNnEBQ_3_11"/>
      <w:bookmarkStart w:id="579" w:name="Tc_muD0XxeWskuMV6vytiRxMQ_3_8"/>
      <w:bookmarkStart w:id="580" w:name="Tc_YvyOyZCNLUaOromE5Hnl5g_2_8"/>
      <w:bookmarkStart w:id="581" w:name="Tc_uxXFlrG3ukSHDrcL9V0CWQ_1_2"/>
      <w:bookmarkStart w:id="582" w:name="_018f6957_03e9_4067_ba6d_1c06810e10f0"/>
      <w:bookmarkStart w:id="583" w:name="Tc_GIM6mc4Ok0qcyKJfC7MDNA_15_17"/>
      <w:bookmarkStart w:id="584" w:name="Tc_3rFBdNCL3UGOYr1_09GgKw_15_14"/>
      <w:bookmarkStart w:id="585" w:name="Tc_dRZpaM_JVEuYaKJpXe6jbg_15_11"/>
      <w:bookmarkStart w:id="586" w:name="Tc_Aq0MoO-NrkqeSM2Dy9fz-A_15_8"/>
      <w:bookmarkStart w:id="587" w:name="Tc_7-4gzYFZzUS49yqStTGw6Q_15_5"/>
      <w:bookmarkStart w:id="588" w:name="Tc_pvK5rBrEKUqaYgWUca0w_A_15_2"/>
      <w:bookmarkStart w:id="589" w:name="Tc_B4tEh5N4tk-mWuohi1TZvQ_15_0"/>
      <w:bookmarkStart w:id="590" w:name="Tc_0ebA5YJFNkWvItSQsCuCxg_14_12"/>
      <w:bookmarkStart w:id="591" w:name="Tc_nnpp_PIDeU64Q2lujz5bKQ_14_0"/>
      <w:bookmarkStart w:id="592" w:name="Tc_jwrNR24ZCkOBSSyAAlo77w_13_12"/>
      <w:bookmarkStart w:id="593" w:name="Tc_VUGM7pkg4UaIdB9JB-RnzA_13_0"/>
      <w:bookmarkStart w:id="594" w:name="Tc_CzyTuKgCV0OgC6qQOqnAEg_12_18"/>
      <w:bookmarkStart w:id="595" w:name="Tc_FIo_48zHGEmkTQIoxUk0PQ_12_12"/>
      <w:bookmarkStart w:id="596" w:name="Tc_OWsRJCN5AUCSYvIScozWUw_12_6"/>
      <w:bookmarkStart w:id="597" w:name="Tc_eEdIs9ujkkCi9nnbl4JQsA_12_3"/>
      <w:bookmarkStart w:id="598" w:name="Tc__kzWa9rR6U2o5JH9dZ_3Hg_12_0"/>
      <w:bookmarkStart w:id="599" w:name="Tc_hLcaB47AC0yGZjZgvqx7gw_11_15"/>
      <w:bookmarkStart w:id="600" w:name="Tc_XOpCntbxTUO8b48Yf1-nrw_11_12"/>
      <w:bookmarkStart w:id="601" w:name="Tc_BSMFiLxnSUSKhdsC0_QhkA_11_6"/>
      <w:bookmarkStart w:id="602" w:name="Tc_P2Gea-yOhkKV0EIIfMMHSQ_11_3"/>
      <w:bookmarkStart w:id="603" w:name="Tc_SlkGqP5GN0qYyKEavAVqfw_11_0"/>
      <w:bookmarkStart w:id="604" w:name="Tc_TD3-S4WxyECd0Iwznq4AwA_10_0"/>
      <w:bookmarkStart w:id="605" w:name="Tc_Y9AeLS6Ch0GT5Mv9mCbbOQ_9_17"/>
      <w:bookmarkStart w:id="606" w:name="Tc_VPVm096SY06EijyN9Teo0w_9_14"/>
      <w:bookmarkStart w:id="607" w:name="Tc_Cc-VFTmd7Eqz0LuxfX-eQQ_9_11"/>
      <w:bookmarkStart w:id="608" w:name="Tc_l_AeCYDlhkaDUhM6WCbDRA_9_9"/>
      <w:bookmarkStart w:id="609" w:name="Tc_PazEhSCgN0yB_6w5IcXjRA_9_6"/>
      <w:bookmarkStart w:id="610" w:name="Tc_qMVTg_kQd0WHA50nXdCGSA_9_3"/>
      <w:bookmarkStart w:id="611" w:name="Tc_KpsUEUK3zUabQjkQKWw13A_9_0"/>
      <w:bookmarkStart w:id="612" w:name="Tc_ejTiYNCS6EC6xf_MlFhVvg_8_15"/>
      <w:bookmarkStart w:id="613" w:name="Tc_gn7M-QvHVkS7rDeXQEyt0A_8_9"/>
      <w:bookmarkStart w:id="614" w:name="Tc_NepLD0nR7ECaYZjfPcOI_w_8_6"/>
      <w:bookmarkStart w:id="615" w:name="Tc_BWmjtBHrK0WlgR-rsJvlnQ_8_3"/>
      <w:bookmarkStart w:id="616" w:name="Tc_ZOanfm3izUa3kGGHw4cpig_8_0"/>
      <w:bookmarkStart w:id="617" w:name="Tc_04VMKdTCOEikFgU8aard7Q_7_12"/>
      <w:bookmarkStart w:id="618" w:name="Tc_1mxMP3hSrkyxvgTe8dbZsQ_7_9"/>
      <w:bookmarkStart w:id="619" w:name="Tc_X0Q7euBNEkuYT1l3h6gfkA_7_6"/>
      <w:bookmarkStart w:id="620" w:name="Tc_RZEDWGy8Bkqc3zo34U_toQ_7_3"/>
      <w:bookmarkStart w:id="621" w:name="Tc_SYn4kODBSEChk3KIE98m2Q_7_0"/>
      <w:bookmarkStart w:id="622" w:name="Tc_whZPtiZhTkG2ovwll-s-Vw_6_17"/>
      <w:bookmarkStart w:id="623" w:name="Tc_CTYJpHqLaEWpLRrzveWeIA_6_14"/>
      <w:bookmarkStart w:id="624" w:name="Tc_gziO40F5006K3Fsmaee9mw_6_11"/>
      <w:bookmarkStart w:id="625" w:name="Tc_TJNGgutjqEKarpdrwUqYtg_6_8"/>
      <w:bookmarkStart w:id="626" w:name="Tc_uAbBGlmxlECA4-eENPu78Q_6_5"/>
      <w:bookmarkStart w:id="627" w:name="Tc_origh23suUaC2eT4iK9kmg_6_2"/>
      <w:bookmarkStart w:id="628" w:name="Tc_ouHi6U_vMU6nR61tmMuWSQ_6_0"/>
      <w:bookmarkStart w:id="629" w:name="Tc_VL6YhRZVDk2HY_INMgGr1Q_5_17"/>
      <w:bookmarkStart w:id="630" w:name="Tc_vZCtNOIsL0eDmcJnHTFdRA_5_14"/>
      <w:bookmarkStart w:id="631" w:name="Tc_msPDP6879ESFIKTbQlu5pQ_5_11"/>
      <w:bookmarkStart w:id="632" w:name="Tc_0x5FyMbW7kSyx1TJbgR-mQ_5_8"/>
      <w:bookmarkStart w:id="633" w:name="Tc_NwL_5kesRUiOuL2Hq2lm5g_5_5"/>
      <w:bookmarkStart w:id="634" w:name="Tc_zAJUSP_Iv0Ki36M55KDcUw_5_2"/>
      <w:bookmarkStart w:id="635" w:name="Tc_PwVNmo5Ru060qljSGCQosA_4_14"/>
      <w:bookmarkStart w:id="636" w:name="Tc_gyL5B3kGuEWw8mR9Mo-bQA_4_11"/>
      <w:bookmarkStart w:id="637" w:name="Tc_KO2vodwcBUCBfqrS-JsuIw_4_8"/>
      <w:bookmarkStart w:id="638" w:name="Tc_Jt6TKzN3EEW_dIyYheF3jw_4_5"/>
      <w:bookmarkStart w:id="639" w:name="Tc_yd3FRAUVcECyWfj6niCpHQ_4_2"/>
      <w:bookmarkStart w:id="640" w:name="Tc_NSNodjnXxEyKed1gRNnEBQ_3_11"/>
      <w:bookmarkStart w:id="641" w:name="Tc_muD0XxeWskuMV6vytiRxMQ_3_8"/>
      <w:bookmarkStart w:id="642" w:name="Tc_YvyOyZCNLUaOromE5Hnl5g_2_8"/>
      <w:bookmarkStart w:id="643" w:name="Tc_uxXFlrG3ukSHDrcL9V0CWQ_1_2"/>
      <w:bookmarkStart w:id="644" w:name="_018f6957_03e9_4067_ba6d_1c06810e10f0"/>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tbl>
      <w:tblPr>
        <w:tblW w:w="10205" w:type="dxa"/>
        <w:jc w:val="left"/>
        <w:tblInd w:w="0" w:type="dxa"/>
        <w:tblLayout w:type="fixed"/>
        <w:tblCellMar>
          <w:top w:w="0" w:type="dxa"/>
          <w:left w:w="0" w:type="dxa"/>
          <w:bottom w:w="0" w:type="dxa"/>
          <w:right w:w="0" w:type="dxa"/>
        </w:tblCellMar>
      </w:tblPr>
      <w:tblGrid>
        <w:gridCol w:w="2122"/>
        <w:gridCol w:w="346"/>
        <w:gridCol w:w="226"/>
        <w:gridCol w:w="571"/>
        <w:gridCol w:w="346"/>
        <w:gridCol w:w="226"/>
        <w:gridCol w:w="781"/>
        <w:gridCol w:w="346"/>
        <w:gridCol w:w="226"/>
        <w:gridCol w:w="676"/>
        <w:gridCol w:w="346"/>
        <w:gridCol w:w="332"/>
        <w:gridCol w:w="839"/>
        <w:gridCol w:w="346"/>
        <w:gridCol w:w="226"/>
        <w:gridCol w:w="849"/>
        <w:gridCol w:w="346"/>
        <w:gridCol w:w="226"/>
        <w:gridCol w:w="829"/>
      </w:tblGrid>
      <w:tr>
        <w:trPr/>
        <w:tc>
          <w:tcPr>
            <w:tcW w:w="21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47470" cy="175260"/>
                      <wp:effectExtent l="0" t="0" r="0" b="0"/>
                      <wp:wrapNone/>
                      <wp:docPr id="87" name="Frame80"/>
                      <a:graphic xmlns:a="http://schemas.openxmlformats.org/drawingml/2006/main">
                        <a:graphicData uri="http://schemas.microsoft.com/office/word/2010/wordprocessingShape">
                          <wps:wsp>
                            <wps:cNvSpPr txBox="1"/>
                            <wps:spPr>
                              <a:xfrm>
                                <a:off x="0" y="0"/>
                                <a:ext cx="13474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43510" cy="175260"/>
                      <wp:effectExtent l="0" t="0" r="0" b="0"/>
                      <wp:wrapNone/>
                      <wp:docPr id="89" name="Frame82"/>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90" name="Frame8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43510" cy="175260"/>
                      <wp:effectExtent l="0" t="0" r="0" b="0"/>
                      <wp:wrapNone/>
                      <wp:docPr id="92" name="Frame85"/>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95935" cy="175260"/>
                      <wp:effectExtent l="0" t="0" r="0" b="0"/>
                      <wp:wrapNone/>
                      <wp:docPr id="93" name="Frame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43510" cy="175260"/>
                      <wp:effectExtent l="0" t="0" r="0" b="0"/>
                      <wp:wrapNone/>
                      <wp:docPr id="95" name="Frame88"/>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429260" cy="175260"/>
                      <wp:effectExtent l="0" t="0" r="0" b="0"/>
                      <wp:wrapNone/>
                      <wp:docPr id="96" name="Frame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0820" cy="175260"/>
                      <wp:effectExtent l="0" t="0" r="0" b="0"/>
                      <wp:wrapNone/>
                      <wp:docPr id="98" name="Frame91"/>
                      <a:graphic xmlns:a="http://schemas.openxmlformats.org/drawingml/2006/main">
                        <a:graphicData uri="http://schemas.microsoft.com/office/word/2010/wordprocessingShape">
                          <wps:wsp>
                            <wps:cNvSpPr txBox="1"/>
                            <wps:spPr>
                              <a:xfrm>
                                <a:off x="0" y="0"/>
                                <a:ext cx="210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32765" cy="175260"/>
                      <wp:effectExtent l="0" t="0" r="0" b="0"/>
                      <wp:wrapNone/>
                      <wp:docPr id="99" name="Frame92"/>
                      <a:graphic xmlns:a="http://schemas.openxmlformats.org/drawingml/2006/main">
                        <a:graphicData uri="http://schemas.microsoft.com/office/word/2010/wordprocessingShape">
                          <wps:wsp>
                            <wps:cNvSpPr txBox="1"/>
                            <wps:spPr>
                              <a:xfrm>
                                <a:off x="0" y="0"/>
                                <a:ext cx="5327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43510" cy="175260"/>
                      <wp:effectExtent l="0" t="0" r="0" b="0"/>
                      <wp:wrapNone/>
                      <wp:docPr id="101" name="Frame94"/>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39115" cy="175260"/>
                      <wp:effectExtent l="0" t="0" r="0" b="0"/>
                      <wp:wrapNone/>
                      <wp:docPr id="102" name="Frame95"/>
                      <a:graphic xmlns:a="http://schemas.openxmlformats.org/drawingml/2006/main">
                        <a:graphicData uri="http://schemas.microsoft.com/office/word/2010/wordprocessingShape">
                          <wps:wsp>
                            <wps:cNvSpPr txBox="1"/>
                            <wps:spPr>
                              <a:xfrm>
                                <a:off x="0" y="0"/>
                                <a:ext cx="539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219710" cy="175260"/>
                      <wp:effectExtent l="0" t="0" r="0" b="0"/>
                      <wp:wrapNone/>
                      <wp:docPr id="103" name="Frame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43510" cy="175260"/>
                      <wp:effectExtent l="0" t="0" r="0" b="0"/>
                      <wp:wrapNone/>
                      <wp:docPr id="104" name="Frame97"/>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526415" cy="175260"/>
                      <wp:effectExtent l="0" t="0" r="0" b="0"/>
                      <wp:wrapNone/>
                      <wp:docPr id="105" name="Frame98"/>
                      <a:graphic xmlns:a="http://schemas.openxmlformats.org/drawingml/2006/main">
                        <a:graphicData uri="http://schemas.microsoft.com/office/word/2010/wordprocessingShape">
                          <wps:wsp>
                            <wps:cNvSpPr txBox="1"/>
                            <wps:spPr>
                              <a:xfrm>
                                <a:off x="0" y="0"/>
                                <a:ext cx="5264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737" w:type="dxa"/>
            <w:gridSpan w:val="1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Attributable to owners of the parent</w:t>
            </w:r>
          </w:p>
        </w:tc>
      </w:tr>
      <w:tr>
        <w:trPr/>
        <w:tc>
          <w:tcPr>
            <w:tcW w:w="21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pPr>
            <w:r>
              <w:rPr/>
              <w:t>​</w:t>
            </w:r>
          </w:p>
        </w:tc>
      </w:tr>
      <w:tr>
        <w:trPr/>
        <w:tc>
          <w:tcPr>
            <w:tcW w:w="21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based</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pPr>
            <w:r>
              <w:rPr/>
              <w:t>​</w:t>
            </w:r>
          </w:p>
        </w:tc>
      </w:tr>
      <w:tr>
        <w:trPr/>
        <w:tc>
          <w:tcPr>
            <w:tcW w:w="21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9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payment</w:t>
            </w:r>
          </w:p>
        </w:tc>
        <w:tc>
          <w:tcPr>
            <w:tcW w:w="346" w:type="dxa"/>
            <w:tcBorders/>
            <w:vAlign w:val="center"/>
          </w:tcPr>
          <w:p>
            <w:pPr>
              <w:pStyle w:val="TableContents"/>
              <w:bidi w:val="0"/>
              <w:spacing w:before="0" w:after="0"/>
              <w:ind w:left="0" w:right="0" w:hanging="0"/>
              <w:jc w:val="left"/>
              <w:rPr/>
            </w:pPr>
            <w:r>
              <w:rPr/>
              <w:t>​</w:t>
            </w:r>
          </w:p>
        </w:tc>
        <w:tc>
          <w:tcPr>
            <w:tcW w:w="117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46" w:type="dxa"/>
            <w:tcBorders/>
            <w:vAlign w:val="center"/>
          </w:tcPr>
          <w:p>
            <w:pPr>
              <w:pStyle w:val="TableContents"/>
              <w:bidi w:val="0"/>
              <w:spacing w:before="0" w:after="0"/>
              <w:ind w:left="0" w:right="0" w:hanging="0"/>
              <w:jc w:val="left"/>
              <w:rPr/>
            </w:pPr>
            <w:r>
              <w:rPr/>
              <w:t>​</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pPr>
            <w:r>
              <w:rPr/>
              <w:t>​</w:t>
            </w:r>
          </w:p>
        </w:tc>
      </w:tr>
      <w:tr>
        <w:trPr/>
        <w:tc>
          <w:tcPr>
            <w:tcW w:w="21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premium</w:t>
            </w:r>
          </w:p>
        </w:tc>
        <w:tc>
          <w:tcPr>
            <w:tcW w:w="346" w:type="dxa"/>
            <w:tcBorders/>
            <w:vAlign w:val="center"/>
          </w:tcPr>
          <w:p>
            <w:pPr>
              <w:pStyle w:val="TableContents"/>
              <w:bidi w:val="0"/>
              <w:spacing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346" w:type="dxa"/>
            <w:tcBorders/>
            <w:vAlign w:val="center"/>
          </w:tcPr>
          <w:p>
            <w:pPr>
              <w:pStyle w:val="TableContents"/>
              <w:bidi w:val="0"/>
              <w:spacing w:before="0" w:after="0"/>
              <w:ind w:left="0" w:right="0" w:hanging="0"/>
              <w:jc w:val="left"/>
              <w:rPr/>
            </w:pPr>
            <w:r>
              <w:rPr/>
              <w:t>  ​ ​ ​</w:t>
            </w:r>
          </w:p>
        </w:tc>
        <w:tc>
          <w:tcPr>
            <w:tcW w:w="117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46" w:type="dxa"/>
            <w:tcBorders/>
            <w:vAlign w:val="center"/>
          </w:tcPr>
          <w:p>
            <w:pPr>
              <w:pStyle w:val="TableContents"/>
              <w:bidi w:val="0"/>
              <w:spacing w:before="0" w:after="0"/>
              <w:ind w:left="0" w:right="0" w:hanging="0"/>
              <w:jc w:val="left"/>
              <w:rPr/>
            </w:pPr>
            <w:r>
              <w:rPr/>
              <w:t>  ​ ​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46" w:type="dxa"/>
            <w:tcBorders/>
            <w:vAlign w:val="center"/>
          </w:tcPr>
          <w:p>
            <w:pPr>
              <w:pStyle w:val="TableContents"/>
              <w:bidi w:val="0"/>
              <w:spacing w:before="0" w:after="0"/>
              <w:ind w:left="0" w:right="0" w:hanging="0"/>
              <w:jc w:val="left"/>
              <w:rPr/>
            </w:pPr>
            <w:r>
              <w:rPr/>
              <w:t>  ​ ​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12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January 1, 2025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6,430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314,345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9,300</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(217,735)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113,254</w:t>
            </w:r>
          </w:p>
        </w:tc>
      </w:tr>
      <w:tr>
        <w:trPr/>
        <w:tc>
          <w:tcPr>
            <w:tcW w:w="21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for the period</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 </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(42,991)</w:t>
            </w:r>
          </w:p>
        </w:tc>
      </w:tr>
      <w:tr>
        <w:trPr/>
        <w:tc>
          <w:tcPr>
            <w:tcW w:w="21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for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212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loss for the period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(42,991)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(42,761)</w:t>
            </w:r>
          </w:p>
        </w:tc>
      </w:tr>
      <w:tr>
        <w:trPr/>
        <w:tc>
          <w:tcPr>
            <w:tcW w:w="21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Equity-settled share-based payments</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pPr>
            <w:r>
              <w:rPr/>
              <w:t>  ​</w:t>
            </w:r>
          </w:p>
        </w:tc>
      </w:tr>
      <w:tr>
        <w:trPr/>
        <w:tc>
          <w:tcPr>
            <w:tcW w:w="21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 during the period</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w:t>
            </w:r>
          </w:p>
        </w:tc>
        <w:tc>
          <w:tcPr>
            <w:tcW w:w="346" w:type="dxa"/>
            <w:tcBorders/>
            <w:vAlign w:val="center"/>
          </w:tcPr>
          <w:p>
            <w:pPr>
              <w:pStyle w:val="TableContents"/>
              <w:bidi w:val="0"/>
              <w:spacing w:before="0" w:after="0"/>
              <w:ind w:left="0" w:right="0" w:hanging="0"/>
              <w:jc w:val="left"/>
              <w:rPr/>
            </w:pPr>
            <w:r>
              <w:rPr/>
              <w:t>​</w:t>
            </w:r>
          </w:p>
        </w:tc>
        <w:tc>
          <w:tcPr>
            <w:tcW w:w="332" w:type="dxa"/>
            <w:tcBorders/>
            <w:vAlign w:val="center"/>
          </w:tcPr>
          <w:p>
            <w:pPr>
              <w:pStyle w:val="TableContents"/>
              <w:bidi w:val="0"/>
              <w:spacing w:before="0" w:after="0"/>
              <w:ind w:left="0" w:right="0" w:hanging="0"/>
              <w:jc w:val="left"/>
              <w:rPr/>
            </w:pPr>
            <w:r>
              <w:rPr/>
              <w:t>​</w:t>
            </w:r>
          </w:p>
        </w:tc>
        <w:tc>
          <w:tcPr>
            <w:tcW w:w="83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4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w:t>
            </w:r>
          </w:p>
        </w:tc>
      </w:tr>
      <w:tr>
        <w:trPr/>
        <w:tc>
          <w:tcPr>
            <w:tcW w:w="21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 during the period</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shd w:fill="CCEEFF" w:val="clear"/>
            <w:vAlign w:val="center"/>
          </w:tcPr>
          <w:p>
            <w:pPr>
              <w:pStyle w:val="TableContents"/>
              <w:bidi w:val="0"/>
              <w:spacing w:before="0" w:after="0"/>
              <w:ind w:left="0" w:right="0" w:hanging="0"/>
              <w:jc w:val="left"/>
              <w:rPr/>
            </w:pPr>
            <w:r>
              <w:rPr/>
              <w:t> </w:t>
            </w:r>
          </w:p>
        </w:tc>
        <w:tc>
          <w:tcPr>
            <w:tcW w:w="83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29" w:type="dxa"/>
            <w:tcBorders/>
            <w:shd w:fill="CCEEFF" w:val="clear"/>
            <w:vAlign w:val="center"/>
          </w:tcPr>
          <w:p>
            <w:pPr>
              <w:pStyle w:val="TableContents"/>
              <w:bidi w:val="0"/>
              <w:spacing w:before="0" w:after="0"/>
              <w:ind w:left="0" w:right="0" w:hanging="0"/>
              <w:jc w:val="right"/>
              <w:rPr/>
            </w:pPr>
            <w:r>
              <w:rPr/>
              <w:t>—</w:t>
            </w:r>
          </w:p>
        </w:tc>
      </w:tr>
      <w:tr>
        <w:trPr/>
        <w:tc>
          <w:tcPr>
            <w:tcW w:w="21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 during the period</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212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transactions with owners of the company recognized directly in equity</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2,345</w:t>
            </w:r>
          </w:p>
        </w:tc>
        <w:tc>
          <w:tcPr>
            <w:tcW w:w="346" w:type="dxa"/>
            <w:tcBorders/>
            <w:shd w:fill="CCEEFF" w:val="clear"/>
            <w:vAlign w:val="center"/>
          </w:tcPr>
          <w:p>
            <w:pPr>
              <w:pStyle w:val="TableContents"/>
              <w:bidi w:val="0"/>
              <w:spacing w:before="0" w:after="0"/>
              <w:ind w:left="0" w:right="0" w:hanging="0"/>
              <w:jc w:val="left"/>
              <w:rPr/>
            </w:pPr>
            <w:r>
              <w:rPr/>
              <w:t>​</w:t>
            </w:r>
          </w:p>
        </w:tc>
        <w:tc>
          <w:tcPr>
            <w:tcW w:w="3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2,904</w:t>
            </w:r>
          </w:p>
        </w:tc>
      </w:tr>
      <w:tr>
        <w:trPr/>
        <w:tc>
          <w:tcPr>
            <w:tcW w:w="212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2025</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6,431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314,388</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11,645</w:t>
            </w:r>
          </w:p>
        </w:tc>
        <w:tc>
          <w:tcPr>
            <w:tcW w:w="346" w:type="dxa"/>
            <w:tcBorders/>
            <w:vAlign w:val="center"/>
          </w:tcPr>
          <w:p>
            <w:pPr>
              <w:pStyle w:val="TableContents"/>
              <w:bidi w:val="0"/>
              <w:spacing w:before="0" w:after="0"/>
              <w:ind w:left="0" w:right="0" w:hanging="0"/>
              <w:jc w:val="left"/>
              <w:rPr/>
            </w:pPr>
            <w:r>
              <w:rPr/>
              <w:t>​</w:t>
            </w:r>
          </w:p>
        </w:tc>
        <w:tc>
          <w:tcPr>
            <w:tcW w:w="3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1,144</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(260,211)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29"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73,397</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45" w:name="_c8c9c32e_8a1b_4626_af92_cc17fe00915d"/>
      <w:bookmarkEnd w:id="645"/>
      <w:r>
        <w:rPr>
          <w:rFonts w:ascii="Times New Roman;Times;serif" w:hAnsi="Times New Roman;Times;serif"/>
          <w:b/>
          <w:sz w:val="20"/>
        </w:rPr>
        <w:t>NYXOAH SA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CONDENSED CONSOLIDATED INTERIM FINANCIAL INFORMATION AS AT AND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SIX MONTHS ENDED JUNE 30, 2026 –</w:t>
      </w:r>
    </w:p>
    <w:p>
      <w:pPr>
        <w:pStyle w:val="TextBody"/>
        <w:bidi w:val="0"/>
        <w:spacing w:before="0" w:after="0"/>
        <w:ind w:left="0" w:right="0" w:hanging="0"/>
        <w:jc w:val="center"/>
        <w:rPr>
          <w:rFonts w:ascii="Times New Roman;Times;serif" w:hAnsi="Times New Roman;Times;serif"/>
          <w:b/>
          <w:sz w:val="20"/>
        </w:rPr>
      </w:pPr>
      <w:bookmarkStart w:id="646" w:name="INTERIMCONSOLIDATEDSTATEMENTSOFCASHFLOWS"/>
      <w:bookmarkEnd w:id="646"/>
      <w:r>
        <w:rPr>
          <w:rFonts w:ascii="Times New Roman;Times;serif" w:hAnsi="Times New Roman;Times;serif"/>
          <w:b/>
          <w:sz w:val="20"/>
        </w:rPr>
        <w:t>INTERIM CONSOLIDATED STATEMENTS OF CASH FLOWS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647" w:name="Tc_rFn9hiUr90K2-zd9lWHV1g_40_7"/>
      <w:bookmarkStart w:id="648" w:name="Tc_bGDHH2lgNky4meO3xazcqA_40_4"/>
      <w:bookmarkStart w:id="649" w:name="Tc__wKLTuiwk0eGNsteeKF_Cw_40_2"/>
      <w:bookmarkStart w:id="650" w:name="Tc_ghVBx3aRYkWQOSDBFdwdtQ_40_0"/>
      <w:bookmarkStart w:id="651" w:name="Tc_md4VXlH0pkSVKs6K15gMog_39_7"/>
      <w:bookmarkStart w:id="652" w:name="Tc_LiwKpkeUiUuOQwOJ5V1rvw_39_4"/>
      <w:bookmarkStart w:id="653" w:name="Tc_77wavWQGhUunoUEi1qEylw_39_2"/>
      <w:bookmarkStart w:id="654" w:name="Tc_mdknlVkP30m0zhw8lfGUiQ_39_0"/>
      <w:bookmarkStart w:id="655" w:name="Tc_18SZQEjM1ECJDTrXgO-1rw_38_0"/>
      <w:bookmarkStart w:id="656" w:name="Tc_ZNFg7CnSL0mRbLAGO7SS2g_37_7"/>
      <w:bookmarkStart w:id="657" w:name="Tc_biauNAdu8kS0XPES3LpJqQ_37_4"/>
      <w:bookmarkStart w:id="658" w:name="Tc_YkpXqn8Vd0ykwaTNh5TH9Q_37_0"/>
      <w:bookmarkStart w:id="659" w:name="Tc_m0keeA6Ank-zTimLYeBwbg_36_7"/>
      <w:bookmarkStart w:id="660" w:name="Tc_7-L0DlXQKU2z0YVlDCn6lA_36_4"/>
      <w:bookmarkStart w:id="661" w:name="Tc_lzuWzI_KvUSmMIoQjbvxmA_36_0"/>
      <w:bookmarkStart w:id="662" w:name="Tc_8cOu8jUSQkGoWJbW0xfXQg_35_0"/>
      <w:bookmarkStart w:id="663" w:name="Tc_p7TuSZuT7EmLEFTz084ewg_34_2"/>
      <w:bookmarkStart w:id="664" w:name="Tc_Slg3OtiEYUO3Gff4dERRLw_34_0"/>
      <w:bookmarkStart w:id="665" w:name="Tc_09B2a7Hs1UqmAtlooq7uCg_33_8"/>
      <w:bookmarkStart w:id="666" w:name="Tc_stbazOjAV0eWBlGNhvjwLg_33_0"/>
      <w:bookmarkStart w:id="667" w:name="Tc_UCyYjAEo0U2fY_NrvQ_f_g_32_0"/>
      <w:bookmarkStart w:id="668" w:name="Tc_TX2MRWCMhEmxZMxNXCGR6A_31_8"/>
      <w:bookmarkStart w:id="669" w:name="Tc_yFTZ5-ClFEG8_f-xGaR5HA_31_0"/>
      <w:bookmarkStart w:id="670" w:name="Tc_cygZJx-H60yhMNk67JPGSg_30_8"/>
      <w:bookmarkStart w:id="671" w:name="Tc_6Tkokmv7AUOmTXFMqCqGgQ_30_0"/>
      <w:bookmarkStart w:id="672" w:name="Tc_DZXUunrMC06RIH6QnVbf5g_29_2"/>
      <w:bookmarkStart w:id="673" w:name="Tc_lw-X3VKxYE2F_aA8QZWr0w_29_0"/>
      <w:bookmarkStart w:id="674" w:name="Tc_6d4fH8kGK0uYG61xfy3XqA_28_0"/>
      <w:bookmarkStart w:id="675" w:name="Tc_aEaCYTOzbEydr_zBgnpXnw_27_7"/>
      <w:bookmarkStart w:id="676" w:name="Tc_FTslNyEADki5e13bb9JOJg_27_4"/>
      <w:bookmarkStart w:id="677" w:name="Tc_rkkLB580LkyEfTusJVZeHw_27_0"/>
      <w:bookmarkStart w:id="678" w:name="Tc_6rUMONGvh0i0mjJjCBtsjQ_26_0"/>
      <w:bookmarkStart w:id="679" w:name="Tc_tpmIGt2GWkq6HI1JEa-qzw_25_2"/>
      <w:bookmarkStart w:id="680" w:name="Tc_q-kSB9GCRUyKqDv9inpNfg_25_0"/>
      <w:bookmarkStart w:id="681" w:name="Tc_SFKvUJ8HjkGDxMF4dIV6vw_24_2"/>
      <w:bookmarkStart w:id="682" w:name="Tc_PAyuHC8aoUOomtBoRmZd3A_24_0"/>
      <w:bookmarkStart w:id="683" w:name="Tc_OlyJrn9aQU6O8pd6GAGkEg_23_2"/>
      <w:bookmarkStart w:id="684" w:name="Tc_L4BYN2Apu0CZ4ZnDu74g8Q_23_0"/>
      <w:bookmarkStart w:id="685" w:name="Tc_UQ2DENhqc0qX8AMhqlbImw_22_2"/>
      <w:bookmarkStart w:id="686" w:name="Tc_U-5Re2DFv02eQ7Byez-lZw_22_0"/>
      <w:bookmarkStart w:id="687" w:name="Tc_tGi7SSE9e0emQgx9UyXwaQ_21_0"/>
      <w:bookmarkStart w:id="688" w:name="Tc_7PBXtpE5VUulS_OoZlBGYA_20_7"/>
      <w:bookmarkStart w:id="689" w:name="Tc_9g1HhdQZO0-ctX-pIp9Ppw_20_4"/>
      <w:bookmarkStart w:id="690" w:name="Tc_i1msh2Ap70m0zw_liBecGA_20_0"/>
      <w:bookmarkStart w:id="691" w:name="Tc_qkegAN6nZUKd03gdnLVwsg_19_0"/>
      <w:bookmarkStart w:id="692" w:name="Tc_ybmLdERr6kqDtkkP4eBj0g_18_7"/>
      <w:bookmarkStart w:id="693" w:name="Tc_IDWLPLzEXU6jWXl1a5hqNw_18_4"/>
      <w:bookmarkStart w:id="694" w:name="Tc_H4xq02KeoUeUsSpy4TApLQ_18_0"/>
      <w:bookmarkStart w:id="695" w:name="Tc_2bQZcDBmp0WpoFL5S_lHVQ_17_2"/>
      <w:bookmarkStart w:id="696" w:name="Tc_miBQW3SiNkqgHQJQ_vKX2A_17_0"/>
      <w:bookmarkStart w:id="697" w:name="Tc_TBBQOMkIBUGnbFN0vn29rw_16_2"/>
      <w:bookmarkStart w:id="698" w:name="Tc_wdFqOONTCUiDPa5Hc2Cptg_16_0"/>
      <w:bookmarkStart w:id="699" w:name="Tc_Jft_k1TMaUq8IkxqwzcV1g_15_2"/>
      <w:bookmarkStart w:id="700" w:name="Tc_AQsEdi8BeUC9xclYAl_ITg_15_0"/>
      <w:bookmarkStart w:id="701" w:name="Tc_qC0ho9CErk60ukeydOPSGA_14_7"/>
      <w:bookmarkStart w:id="702" w:name="Tc_j9Pb-iamQk-A69kXoelLGg_14_4"/>
      <w:bookmarkStart w:id="703" w:name="Tc_3nlR0awMTUSbDbokySf_PA_14_0"/>
      <w:bookmarkStart w:id="704" w:name="Tc_OnYxkv7pGk-75VhqpBAaLg_13_0"/>
      <w:bookmarkStart w:id="705" w:name="Tc_8oqohXv1ZESo0nwGzZdPyg_12_0"/>
      <w:bookmarkStart w:id="706" w:name="Tc_lkVg-sTLFEue3pWHZVepoQ_11_2"/>
      <w:bookmarkStart w:id="707" w:name="Tc_nr25MHiMEkOx4cgBrE3VtQ_11_0"/>
      <w:bookmarkStart w:id="708" w:name="Tc_lV9O1WCNl0a6G9-Xaou5kw_10_2"/>
      <w:bookmarkStart w:id="709" w:name="Tc_wH-Nh2-NkkeEK8Id9KTsig_10_0"/>
      <w:bookmarkStart w:id="710" w:name="Tc_MDmQ-gaqX0uiKrz0eLikEQ_9_2"/>
      <w:bookmarkStart w:id="711" w:name="Tc_Q7bXsiiXrEuDOpSJDePKRA_9_0"/>
      <w:bookmarkStart w:id="712" w:name="Tc_JczYPlq73EiTNBblHaYB4w_8_0"/>
      <w:bookmarkStart w:id="713" w:name="Tc_cLdXOkePFkKH6eFpYAPTqQ_7_0"/>
      <w:bookmarkStart w:id="714" w:name="Tc_KjpVMzLaw0uhhVhSajGLxw_6_0"/>
      <w:bookmarkStart w:id="715" w:name="Tc_qUARzzUp1USRs7u4SX24lw_5_7"/>
      <w:bookmarkStart w:id="716" w:name="Tc_0gw4hm3aLUGNIpFvR3bEMw_5_4"/>
      <w:bookmarkStart w:id="717" w:name="Tc_d_D0z3rN30eCINStAuArYQ_5_0"/>
      <w:bookmarkStart w:id="718" w:name="Tc_dz-GSSKGeEK7HClAijlSsg_4_0"/>
      <w:bookmarkStart w:id="719" w:name="Tc_6kDWeSqsGkiESkUa3i7GRA_3_7"/>
      <w:bookmarkStart w:id="720" w:name="Tc_dr-87ZzOo06EarWfBDyi5g_3_4"/>
      <w:bookmarkStart w:id="721" w:name="Tc_i0dAWt0NCUG2BcQkGcD8qA_3_2"/>
      <w:bookmarkStart w:id="722" w:name="Tc_tQJ2Ev4Gl0-mozNckLaudw_2_4"/>
      <w:bookmarkStart w:id="723" w:name="Tc_AMFZoqkArEyZ7pLiaHI3Og_1_4"/>
      <w:bookmarkStart w:id="724" w:name="_2dcffb49_a388_4768_899a_d3b37778e8c1"/>
      <w:bookmarkStart w:id="725" w:name="Tc_rFn9hiUr90K2-zd9lWHV1g_40_7"/>
      <w:bookmarkStart w:id="726" w:name="Tc_bGDHH2lgNky4meO3xazcqA_40_4"/>
      <w:bookmarkStart w:id="727" w:name="Tc__wKLTuiwk0eGNsteeKF_Cw_40_2"/>
      <w:bookmarkStart w:id="728" w:name="Tc_ghVBx3aRYkWQOSDBFdwdtQ_40_0"/>
      <w:bookmarkStart w:id="729" w:name="Tc_md4VXlH0pkSVKs6K15gMog_39_7"/>
      <w:bookmarkStart w:id="730" w:name="Tc_LiwKpkeUiUuOQwOJ5V1rvw_39_4"/>
      <w:bookmarkStart w:id="731" w:name="Tc_77wavWQGhUunoUEi1qEylw_39_2"/>
      <w:bookmarkStart w:id="732" w:name="Tc_mdknlVkP30m0zhw8lfGUiQ_39_0"/>
      <w:bookmarkStart w:id="733" w:name="Tc_18SZQEjM1ECJDTrXgO-1rw_38_0"/>
      <w:bookmarkStart w:id="734" w:name="Tc_ZNFg7CnSL0mRbLAGO7SS2g_37_7"/>
      <w:bookmarkStart w:id="735" w:name="Tc_biauNAdu8kS0XPES3LpJqQ_37_4"/>
      <w:bookmarkStart w:id="736" w:name="Tc_YkpXqn8Vd0ykwaTNh5TH9Q_37_0"/>
      <w:bookmarkStart w:id="737" w:name="Tc_m0keeA6Ank-zTimLYeBwbg_36_7"/>
      <w:bookmarkStart w:id="738" w:name="Tc_7-L0DlXQKU2z0YVlDCn6lA_36_4"/>
      <w:bookmarkStart w:id="739" w:name="Tc_lzuWzI_KvUSmMIoQjbvxmA_36_0"/>
      <w:bookmarkStart w:id="740" w:name="Tc_8cOu8jUSQkGoWJbW0xfXQg_35_0"/>
      <w:bookmarkStart w:id="741" w:name="Tc_p7TuSZuT7EmLEFTz084ewg_34_2"/>
      <w:bookmarkStart w:id="742" w:name="Tc_Slg3OtiEYUO3Gff4dERRLw_34_0"/>
      <w:bookmarkStart w:id="743" w:name="Tc_09B2a7Hs1UqmAtlooq7uCg_33_8"/>
      <w:bookmarkStart w:id="744" w:name="Tc_stbazOjAV0eWBlGNhvjwLg_33_0"/>
      <w:bookmarkStart w:id="745" w:name="Tc_UCyYjAEo0U2fY_NrvQ_f_g_32_0"/>
      <w:bookmarkStart w:id="746" w:name="Tc_TX2MRWCMhEmxZMxNXCGR6A_31_8"/>
      <w:bookmarkStart w:id="747" w:name="Tc_yFTZ5-ClFEG8_f-xGaR5HA_31_0"/>
      <w:bookmarkStart w:id="748" w:name="Tc_cygZJx-H60yhMNk67JPGSg_30_8"/>
      <w:bookmarkStart w:id="749" w:name="Tc_6Tkokmv7AUOmTXFMqCqGgQ_30_0"/>
      <w:bookmarkStart w:id="750" w:name="Tc_DZXUunrMC06RIH6QnVbf5g_29_2"/>
      <w:bookmarkStart w:id="751" w:name="Tc_lw-X3VKxYE2F_aA8QZWr0w_29_0"/>
      <w:bookmarkStart w:id="752" w:name="Tc_6d4fH8kGK0uYG61xfy3XqA_28_0"/>
      <w:bookmarkStart w:id="753" w:name="Tc_aEaCYTOzbEydr_zBgnpXnw_27_7"/>
      <w:bookmarkStart w:id="754" w:name="Tc_FTslNyEADki5e13bb9JOJg_27_4"/>
      <w:bookmarkStart w:id="755" w:name="Tc_rkkLB580LkyEfTusJVZeHw_27_0"/>
      <w:bookmarkStart w:id="756" w:name="Tc_6rUMONGvh0i0mjJjCBtsjQ_26_0"/>
      <w:bookmarkStart w:id="757" w:name="Tc_tpmIGt2GWkq6HI1JEa-qzw_25_2"/>
      <w:bookmarkStart w:id="758" w:name="Tc_q-kSB9GCRUyKqDv9inpNfg_25_0"/>
      <w:bookmarkStart w:id="759" w:name="Tc_SFKvUJ8HjkGDxMF4dIV6vw_24_2"/>
      <w:bookmarkStart w:id="760" w:name="Tc_PAyuHC8aoUOomtBoRmZd3A_24_0"/>
      <w:bookmarkStart w:id="761" w:name="Tc_OlyJrn9aQU6O8pd6GAGkEg_23_2"/>
      <w:bookmarkStart w:id="762" w:name="Tc_L4BYN2Apu0CZ4ZnDu74g8Q_23_0"/>
      <w:bookmarkStart w:id="763" w:name="Tc_UQ2DENhqc0qX8AMhqlbImw_22_2"/>
      <w:bookmarkStart w:id="764" w:name="Tc_U-5Re2DFv02eQ7Byez-lZw_22_0"/>
      <w:bookmarkStart w:id="765" w:name="Tc_tGi7SSE9e0emQgx9UyXwaQ_21_0"/>
      <w:bookmarkStart w:id="766" w:name="Tc_7PBXtpE5VUulS_OoZlBGYA_20_7"/>
      <w:bookmarkStart w:id="767" w:name="Tc_9g1HhdQZO0-ctX-pIp9Ppw_20_4"/>
      <w:bookmarkStart w:id="768" w:name="Tc_i1msh2Ap70m0zw_liBecGA_20_0"/>
      <w:bookmarkStart w:id="769" w:name="Tc_qkegAN6nZUKd03gdnLVwsg_19_0"/>
      <w:bookmarkStart w:id="770" w:name="Tc_ybmLdERr6kqDtkkP4eBj0g_18_7"/>
      <w:bookmarkStart w:id="771" w:name="Tc_IDWLPLzEXU6jWXl1a5hqNw_18_4"/>
      <w:bookmarkStart w:id="772" w:name="Tc_H4xq02KeoUeUsSpy4TApLQ_18_0"/>
      <w:bookmarkStart w:id="773" w:name="Tc_2bQZcDBmp0WpoFL5S_lHVQ_17_2"/>
      <w:bookmarkStart w:id="774" w:name="Tc_miBQW3SiNkqgHQJQ_vKX2A_17_0"/>
      <w:bookmarkStart w:id="775" w:name="Tc_TBBQOMkIBUGnbFN0vn29rw_16_2"/>
      <w:bookmarkStart w:id="776" w:name="Tc_wdFqOONTCUiDPa5Hc2Cptg_16_0"/>
      <w:bookmarkStart w:id="777" w:name="Tc_Jft_k1TMaUq8IkxqwzcV1g_15_2"/>
      <w:bookmarkStart w:id="778" w:name="Tc_AQsEdi8BeUC9xclYAl_ITg_15_0"/>
      <w:bookmarkStart w:id="779" w:name="Tc_qC0ho9CErk60ukeydOPSGA_14_7"/>
      <w:bookmarkStart w:id="780" w:name="Tc_j9Pb-iamQk-A69kXoelLGg_14_4"/>
      <w:bookmarkStart w:id="781" w:name="Tc_3nlR0awMTUSbDbokySf_PA_14_0"/>
      <w:bookmarkStart w:id="782" w:name="Tc_OnYxkv7pGk-75VhqpBAaLg_13_0"/>
      <w:bookmarkStart w:id="783" w:name="Tc_8oqohXv1ZESo0nwGzZdPyg_12_0"/>
      <w:bookmarkStart w:id="784" w:name="Tc_lkVg-sTLFEue3pWHZVepoQ_11_2"/>
      <w:bookmarkStart w:id="785" w:name="Tc_nr25MHiMEkOx4cgBrE3VtQ_11_0"/>
      <w:bookmarkStart w:id="786" w:name="Tc_lV9O1WCNl0a6G9-Xaou5kw_10_2"/>
      <w:bookmarkStart w:id="787" w:name="Tc_wH-Nh2-NkkeEK8Id9KTsig_10_0"/>
      <w:bookmarkStart w:id="788" w:name="Tc_MDmQ-gaqX0uiKrz0eLikEQ_9_2"/>
      <w:bookmarkStart w:id="789" w:name="Tc_Q7bXsiiXrEuDOpSJDePKRA_9_0"/>
      <w:bookmarkStart w:id="790" w:name="Tc_JczYPlq73EiTNBblHaYB4w_8_0"/>
      <w:bookmarkStart w:id="791" w:name="Tc_cLdXOkePFkKH6eFpYAPTqQ_7_0"/>
      <w:bookmarkStart w:id="792" w:name="Tc_KjpVMzLaw0uhhVhSajGLxw_6_0"/>
      <w:bookmarkStart w:id="793" w:name="Tc_qUARzzUp1USRs7u4SX24lw_5_7"/>
      <w:bookmarkStart w:id="794" w:name="Tc_0gw4hm3aLUGNIpFvR3bEMw_5_4"/>
      <w:bookmarkStart w:id="795" w:name="Tc_d_D0z3rN30eCINStAuArYQ_5_0"/>
      <w:bookmarkStart w:id="796" w:name="Tc_dz-GSSKGeEK7HClAijlSsg_4_0"/>
      <w:bookmarkStart w:id="797" w:name="Tc_6kDWeSqsGkiESkUa3i7GRA_3_7"/>
      <w:bookmarkStart w:id="798" w:name="Tc_dr-87ZzOo06EarWfBDyi5g_3_4"/>
      <w:bookmarkStart w:id="799" w:name="Tc_i0dAWt0NCUG2BcQkGcD8qA_3_2"/>
      <w:bookmarkStart w:id="800" w:name="Tc_tQJ2Ev4Gl0-mozNckLaudw_2_4"/>
      <w:bookmarkStart w:id="801" w:name="Tc_AMFZoqkArEyZ7pLiaHI3Og_1_4"/>
      <w:bookmarkStart w:id="802" w:name="_2dcffb49_a388_4768_899a_d3b37778e8c1"/>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p>
    <w:tbl>
      <w:tblPr>
        <w:tblW w:w="10205" w:type="dxa"/>
        <w:jc w:val="left"/>
        <w:tblInd w:w="0" w:type="dxa"/>
        <w:tblLayout w:type="fixed"/>
        <w:tblCellMar>
          <w:top w:w="0" w:type="dxa"/>
          <w:left w:w="0" w:type="dxa"/>
          <w:bottom w:w="0" w:type="dxa"/>
          <w:right w:w="0" w:type="dxa"/>
        </w:tblCellMar>
      </w:tblPr>
      <w:tblGrid>
        <w:gridCol w:w="6518"/>
        <w:gridCol w:w="346"/>
        <w:gridCol w:w="571"/>
        <w:gridCol w:w="346"/>
        <w:gridCol w:w="226"/>
        <w:gridCol w:w="790"/>
        <w:gridCol w:w="346"/>
        <w:gridCol w:w="226"/>
        <w:gridCol w:w="836"/>
      </w:tblGrid>
      <w:tr>
        <w:trPr/>
        <w:tc>
          <w:tcPr>
            <w:tcW w:w="65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138930" cy="175260"/>
                      <wp:effectExtent l="0" t="0" r="0" b="0"/>
                      <wp:wrapNone/>
                      <wp:docPr id="106" name="Frame99"/>
                      <a:graphic xmlns:a="http://schemas.openxmlformats.org/drawingml/2006/main">
                        <a:graphicData uri="http://schemas.microsoft.com/office/word/2010/wordprocessingShape">
                          <wps:wsp>
                            <wps:cNvSpPr txBox="1"/>
                            <wps:spPr>
                              <a:xfrm>
                                <a:off x="0" y="0"/>
                                <a:ext cx="41389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362585" cy="175260"/>
                      <wp:effectExtent l="0" t="0" r="0" b="0"/>
                      <wp:wrapNone/>
                      <wp:docPr id="108" name="Frame10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19710" cy="175260"/>
                      <wp:effectExtent l="0" t="0" r="0" b="0"/>
                      <wp:wrapNone/>
                      <wp:docPr id="109" name="Frame1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43510" cy="175260"/>
                      <wp:effectExtent l="0" t="0" r="0" b="0"/>
                      <wp:wrapNone/>
                      <wp:docPr id="110" name="Frame103"/>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01650" cy="175260"/>
                      <wp:effectExtent l="0" t="0" r="0" b="0"/>
                      <wp:wrapNone/>
                      <wp:docPr id="111" name="Frame104"/>
                      <a:graphic xmlns:a="http://schemas.openxmlformats.org/drawingml/2006/main">
                        <a:graphicData uri="http://schemas.microsoft.com/office/word/2010/wordprocessingShape">
                          <wps:wsp>
                            <wps:cNvSpPr txBox="1"/>
                            <wps:spPr>
                              <a:xfrm>
                                <a:off x="0" y="0"/>
                                <a:ext cx="5016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19710" cy="175260"/>
                      <wp:effectExtent l="0" t="0" r="0" b="0"/>
                      <wp:wrapNone/>
                      <wp:docPr id="112" name="Frame1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143510" cy="175260"/>
                      <wp:effectExtent l="0" t="0" r="0" b="0"/>
                      <wp:wrapNone/>
                      <wp:docPr id="113" name="Frame106"/>
                      <a:graphic xmlns:a="http://schemas.openxmlformats.org/drawingml/2006/main">
                        <a:graphicData uri="http://schemas.microsoft.com/office/word/2010/wordprocessingShape">
                          <wps:wsp>
                            <wps:cNvSpPr txBox="1"/>
                            <wps:spPr>
                              <a:xfrm>
                                <a:off x="0" y="0"/>
                                <a:ext cx="14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530860" cy="175260"/>
                      <wp:effectExtent l="0" t="0" r="0" b="0"/>
                      <wp:wrapNone/>
                      <wp:docPr id="114" name="Frame107"/>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5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2424"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w:t>
            </w:r>
          </w:p>
        </w:tc>
      </w:tr>
      <w:tr>
        <w:trPr/>
        <w:tc>
          <w:tcPr>
            <w:tcW w:w="65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2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651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5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Notes</w:t>
            </w:r>
          </w:p>
        </w:tc>
        <w:tc>
          <w:tcPr>
            <w:tcW w:w="346" w:type="dxa"/>
            <w:tcBorders/>
            <w:vAlign w:val="center"/>
          </w:tcPr>
          <w:p>
            <w:pPr>
              <w:pStyle w:val="TableContents"/>
              <w:bidi w:val="0"/>
              <w:spacing w:before="0" w:after="0"/>
              <w:ind w:left="0" w:right="0" w:hanging="0"/>
              <w:jc w:val="left"/>
              <w:rPr/>
            </w:pPr>
            <w:r>
              <w:rPr/>
              <w:t>  ​ ​ ​</w:t>
            </w:r>
          </w:p>
        </w:tc>
        <w:tc>
          <w:tcPr>
            <w:tcW w:w="10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6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tax for the year</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(48,042)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(42,587)</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Adjustments for</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left"/>
              <w:rPr/>
            </w:pPr>
            <w:r>
              <w:rPr/>
              <w:t>​</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income</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  ​</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(5,480)</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9,421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7,579</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impairment of property, plant and equipment and right-of-use assets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7, 9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intangible assets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payment transaction expense</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Decrease in provisions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non-cash items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used before changes in working capital</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(35,476)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(36,576)</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(Increase)/Decrease in inventory</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(Increase)/Decrease in trade and other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Increase/(Decrease) in trade and other liabilities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20,22</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(1,571)</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1,472</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used from changes in operations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(37,554)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(34,995)</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paid</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used in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(38,129)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(35,253)</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property, plant and equipment</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intangible assets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of financial assets - current</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(33,549)</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(17,549)</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sale of financial assets - current</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45,067</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 on 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1,583</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generated/(used) in investing activities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(17,700)</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26,786</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Payment of principal portion of lease liabilities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(604)</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other loan</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pPr>
            <w:r>
              <w:rPr/>
              <w:t>—</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costs related to loans and borrowings</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w:t>
            </w:r>
          </w:p>
        </w:tc>
        <w:tc>
          <w:tcPr>
            <w:tcW w:w="836" w:type="dxa"/>
            <w:tcBorders/>
            <w:vAlign w:val="center"/>
          </w:tcPr>
          <w:p>
            <w:pPr>
              <w:pStyle w:val="TableContents"/>
              <w:bidi w:val="0"/>
              <w:spacing w:before="0" w:after="0"/>
              <w:ind w:left="0" w:right="0" w:hanging="0"/>
              <w:jc w:val="right"/>
              <w:rPr/>
            </w:pPr>
            <w:r>
              <w:rPr/>
              <w:t>—</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Interests paid</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Repayment of recoverable cash advance</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7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w:t>
            </w:r>
          </w:p>
        </w:tc>
        <w:tc>
          <w:tcPr>
            <w:tcW w:w="226" w:type="dxa"/>
            <w:tcBorders/>
            <w:vAlign w:val="center"/>
          </w:tcPr>
          <w:p>
            <w:pPr>
              <w:pStyle w:val="TableContents"/>
              <w:bidi w:val="0"/>
              <w:spacing w:before="0" w:after="0"/>
              <w:ind w:left="0" w:right="0" w:hanging="0"/>
              <w:jc w:val="left"/>
              <w:rPr/>
            </w:pPr>
            <w:r>
              <w:rPr/>
              <w:t> </w:t>
            </w:r>
          </w:p>
        </w:tc>
        <w:tc>
          <w:tcPr>
            <w:tcW w:w="836" w:type="dxa"/>
            <w:tcBorders/>
            <w:vAlign w:val="center"/>
          </w:tcPr>
          <w:p>
            <w:pPr>
              <w:pStyle w:val="TableContents"/>
              <w:bidi w:val="0"/>
              <w:spacing w:before="0" w:after="0"/>
              <w:ind w:left="0" w:right="0" w:hanging="0"/>
              <w:jc w:val="right"/>
              <w:rPr/>
            </w:pPr>
            <w:r>
              <w:rPr/>
              <w:t>—</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shares, net of transaction costs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7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76,041</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financial costs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cash generated/(used) from financing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88,983</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(1,202)</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Movement in cash and cash equivalents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33,154</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(9,669)</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 and cash equivalents</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960</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(1,788)</w:t>
            </w:r>
          </w:p>
        </w:tc>
      </w:tr>
      <w:tr>
        <w:trPr/>
        <w:tc>
          <w:tcPr>
            <w:tcW w:w="651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January 1</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30,001</w:t>
            </w:r>
          </w:p>
        </w:tc>
        <w:tc>
          <w:tcPr>
            <w:tcW w:w="346" w:type="dxa"/>
            <w:tcBorders/>
            <w:vAlign w:val="center"/>
          </w:tcPr>
          <w:p>
            <w:pPr>
              <w:pStyle w:val="TableContents"/>
              <w:bidi w:val="0"/>
              <w:spacing w:before="0" w:after="0"/>
              <w:ind w:left="0" w:right="0" w:hanging="0"/>
              <w:jc w:val="left"/>
              <w:rPr/>
            </w:pPr>
            <w:r>
              <w:rPr/>
              <w:t>​</w:t>
            </w:r>
          </w:p>
        </w:tc>
        <w:tc>
          <w:tcPr>
            <w:tcW w:w="2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34,186</w:t>
            </w:r>
          </w:p>
        </w:tc>
      </w:tr>
      <w:tr>
        <w:trPr/>
        <w:tc>
          <w:tcPr>
            <w:tcW w:w="651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and cash equivalents at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64,115</w:t>
            </w:r>
          </w:p>
        </w:tc>
        <w:tc>
          <w:tcPr>
            <w:tcW w:w="346" w:type="dxa"/>
            <w:tcBorders/>
            <w:shd w:fill="CCEEFF" w:val="clear"/>
            <w:vAlign w:val="center"/>
          </w:tcPr>
          <w:p>
            <w:pPr>
              <w:pStyle w:val="TableContents"/>
              <w:bidi w:val="0"/>
              <w:spacing w:before="0" w:after="0"/>
              <w:ind w:left="0" w:right="0" w:hanging="0"/>
              <w:jc w:val="left"/>
              <w:rPr/>
            </w:pPr>
            <w:r>
              <w:rPr/>
              <w:t>​</w:t>
            </w:r>
          </w:p>
        </w:tc>
        <w:tc>
          <w:tcPr>
            <w:tcW w:w="2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22,729</w:t>
            </w:r>
          </w:p>
        </w:tc>
      </w:tr>
    </w:tbl>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interim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803" w:name="_a2bbf4ac_c1d3_4a6e_b02b_0d23bbbc0ed4"/>
      <w:bookmarkEnd w:id="803"/>
      <w:r>
        <w:rPr>
          <w:rFonts w:ascii="Times New Roman;Times;serif" w:hAnsi="Times New Roman;Times;serif"/>
          <w:b/>
          <w:sz w:val="20"/>
        </w:rPr>
        <w:t>NYXOAH SA</w:t>
      </w:r>
    </w:p>
    <w:p>
      <w:pPr>
        <w:pStyle w:val="TextBody"/>
        <w:bidi w:val="0"/>
        <w:spacing w:before="0" w:after="240"/>
        <w:ind w:left="0" w:right="0" w:hanging="0"/>
        <w:jc w:val="center"/>
        <w:rPr>
          <w:rFonts w:ascii="Times New Roman;Times;serif" w:hAnsi="Times New Roman;Times;serif"/>
          <w:b/>
          <w:sz w:val="20"/>
        </w:rPr>
      </w:pPr>
      <w:bookmarkStart w:id="804" w:name="NOTESTOTHEUNAUDITEDCONDENSEDINTERIMCONSO"/>
      <w:bookmarkEnd w:id="804"/>
      <w:r>
        <w:rPr>
          <w:rFonts w:ascii="Times New Roman;Times;serif" w:hAnsi="Times New Roman;Times;serif"/>
          <w:b/>
          <w:sz w:val="20"/>
        </w:rPr>
        <w:t>NOTES TO THE UNAUDITED CONDENSED INTERIM CONSOLIDATED FINANCIAL INFORMATION</w:t>
      </w:r>
    </w:p>
    <w:p>
      <w:pPr>
        <w:pStyle w:val="TextBody"/>
        <w:bidi w:val="0"/>
        <w:spacing w:before="0" w:after="240"/>
        <w:ind w:left="0" w:right="0" w:hanging="0"/>
        <w:jc w:val="left"/>
        <w:rPr>
          <w:rFonts w:ascii="Times New Roman;Times;serif" w:hAnsi="Times New Roman;Times;serif"/>
          <w:b/>
          <w:sz w:val="20"/>
        </w:rPr>
      </w:pPr>
      <w:bookmarkStart w:id="805" w:name="a1Generalinformation_838464"/>
      <w:bookmarkEnd w:id="805"/>
      <w:r>
        <w:rPr>
          <w:rFonts w:ascii="Times New Roman;Times;serif" w:hAnsi="Times New Roman;Times;serif"/>
          <w:b/>
          <w:i w:val="false"/>
          <w:caps w:val="false"/>
          <w:smallCaps w:val="false"/>
          <w:sz w:val="20"/>
        </w:rPr>
        <w:t>1.</w:t>
      </w:r>
      <w:r>
        <w:rPr>
          <w:rFonts w:ascii="Times New Roman;Times;serif" w:hAnsi="Times New Roman;Times;serif"/>
          <w:b/>
          <w:sz w:val="20"/>
        </w:rPr>
        <w:t>General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Nyxoah SA (the “Company”) is a public listed company with limited liability (naamloze vennootschap/société anonyme) incorporated and operating under the laws of Belgium and is domiciled in Belgium. The Company is registered with the legal entities register (Brabant Walloon) under enterprise number 0817.149.675. The Company’s registered office is in Rue Edouard Belin 12, 1435 Mont-Saint-Guibert, Belgium.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a medical technology company focused on the development and commercialization of innovative solutions to treat Obstructive Sleep Apnea, or OSA. Obstructive sleep apnea is the world’s most common sleep disordered breathing condition. OSA occurs when the throat and tongue muscles and soft tissues relax and collapse. It makes a person stop breathing during sleep, while the airway repeatedly becomes partially (hypopnea) or completely (apnea) blocked, limiting the amount of air that reaches the lungs. During an episode of apnea or hypopnea, the patient’s oxygen level drops, which leads to sleep interruptions.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lead solution is the Genio system, a CE-Marked, patient-centric, minimally invasive, next generation hypoglossal neurostimulations therapy for OSA. OSA is the world’s most common sleep disordered breathing condition and is associated with increased mortality risk and comorbidities including cardiovascular diseases, depression and stroke.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Genio system is the first neurostimulation system for the treatment of OSA to include a battery-free and leadless neurostimulator capable of delivering bilateral hypoglossal nerve stimulation to keep the upper airway open. The product is intended to be used as a second-line therapy to treat moderate to severe OSA patients who have either not tolerated, failed or refused conventional therapy, including Continuous Positive Airway Pressure, or CPAP, which, despite its proven efficacy, is associated with many limitations, meaning compliance is a serious challenge. In addition, other second-line treatments are more suitable to treat mild to moderate OSA (such as oral devices) or highly invasive. Compared to other hypoglossal nerve stimulation technologies for the treatment of OSA, the Genio system is a disruptive, differentiating technology that targets a clear unmet medical need thanks to its minimally invasive and quick implantation technique, its external battery and its ability to stimulate the two branches of the hypoglossal nerve.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Nyxoah SA has established four wholly owned subsidiaries: Nyxoah Ltd, a subsidiary of the Company since October 21, 2009 (located in Israel and incorporated on January 10, 2008 under the name M.L.G. Madaf G. Ltd), Nyxoah Pty Ltd since February 1, 2017 (located in Australia) and Nyxoah Inc. since May 14, 2020 (located in the USA) and Nyxoah GmbH since July 26, 2023 (located in Germany).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interim condensed consolidated financial statements of Nyxoah SA and its subsidiaries (collectively, the Group) as of June 30, 2026 and for the three and six months ended June 30, 2026, have been authorized for issue on August 5, 2026 by the Board of Directors of the Company.</w:t>
      </w:r>
    </w:p>
    <w:p>
      <w:pPr>
        <w:pStyle w:val="TextBody"/>
        <w:bidi w:val="0"/>
        <w:spacing w:before="0" w:after="240"/>
        <w:ind w:left="0" w:right="0" w:hanging="0"/>
        <w:jc w:val="left"/>
        <w:rPr>
          <w:rFonts w:ascii="Times New Roman;Times;serif" w:hAnsi="Times New Roman;Times;serif"/>
          <w:b/>
          <w:sz w:val="20"/>
        </w:rPr>
      </w:pPr>
      <w:bookmarkStart w:id="806" w:name="a2Significantaccountingpolicies_913572"/>
      <w:bookmarkEnd w:id="806"/>
      <w:r>
        <w:rPr>
          <w:rFonts w:ascii="Times New Roman;Times;serif" w:hAnsi="Times New Roman;Times;serif"/>
          <w:b/>
          <w:i w:val="false"/>
          <w:caps w:val="false"/>
          <w:smallCaps w:val="false"/>
          <w:sz w:val="20"/>
        </w:rPr>
        <w:t>2.</w:t>
      </w:r>
      <w:r>
        <w:rPr>
          <w:rFonts w:ascii="Times New Roman;Times;serif" w:hAnsi="Times New Roman;Times;serif"/>
          <w:b/>
          <w:sz w:val="20"/>
        </w:rPr>
        <w:t>Material accounting policies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Basis of Preparation of the interim condensed consolidated financial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interim condensed consolidated financial statements have been prepared in accordance with International Accounting Standard 34 – Interim Financial Reporting (“IFRS”), as issued by the International Accounting Standards Board (IASB). They do not include all the information required for complete annual financial statements and should be read in conjunction with the Company’s last annual consolidated financial statements as at and for the year ended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Except for the application of standards, interpretations and amendments being mandatory as of January 1, 2026, the accounting policies used for the preparation of the interim condensed consolidated financial statements are consistent with those used for the preparation of the Company’s annual consolidated financial statements as of and for the year ended December 31, 2025.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consolidated financial statements are presented in Euros (€) and all values are rounded to the nearest thousands, except when otherwise indicated (e.g. €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the interim condensed consolidated financial statements requires the use of certain critical accounting estimates. It also requires management to exercise its judgment in the process of applying the Company’s accounting policies. The areas involving a higher degree of judgement or complexity, are areas where assumptions and estimates are significant to the consolidated financial statements. The critical accounting estimates used in the preparation of the interim consolidated financial statements are consistent with those followed in the preparation of the Company’s annual consolidated financial statements as of and for the year ended December 31, 2025.</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Going concern principle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Unaudited Interim Condensed Consolidated Financial Statements have been prepared under the assumption of going concern. As of June 30, 2026, the Company held cash and cash equivalents totaling €64.1 million and financial assets amounting to €33.7 million. Based on projected cash flows for the remainder of 2026 and into 2027, management believes this liquidity position is adequate to cover capital needs and sustain operations for at least 12 months from the date of authorization of these financial statements.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confirms that despite the conflict between Israel and Iran, operations are continuing with no major impact and the assets are currently safeguarded. The Company is not suffering impact of this conflict.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New and amended standards and interpretations applicable</w:t>
      </w:r>
    </w:p>
    <w:p>
      <w:pPr>
        <w:pStyle w:val="TextBody"/>
        <w:bidi w:val="0"/>
        <w:spacing w:before="0" w:after="240"/>
        <w:ind w:left="720" w:right="0" w:hanging="0"/>
        <w:jc w:val="left"/>
        <w:rPr>
          <w:rFonts w:ascii="Times New Roman;Times;serif" w:hAnsi="Times New Roman;Times;serif"/>
          <w:i/>
          <w:sz w:val="20"/>
        </w:rPr>
      </w:pPr>
      <w:r>
        <w:rPr>
          <w:rFonts w:ascii="Times New Roman;Times;serif" w:hAnsi="Times New Roman;Times;serif"/>
          <w:i/>
          <w:sz w:val="20"/>
        </w:rPr>
        <w:t>Effective for the annual periods beginning on January 1,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Group has not early adopted any standard, interpretation or amendment that has been issued but is not yet effective.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amendment applies for the first time in 2026, but does not have an impact on the interim condensed consolidated financial statements of the Company:</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Amendments to IFRS 9 and IFRS 7 Classification and Measurement of Financial Instruments</w:t>
      </w:r>
    </w:p>
    <w:p>
      <w:pPr>
        <w:pStyle w:val="TextBody"/>
        <w:bidi w:val="0"/>
        <w:spacing w:before="0" w:after="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Annual Improvements – Volume 11</w:t>
      </w:r>
    </w:p>
    <w:p>
      <w:pPr>
        <w:pStyle w:val="TextBody"/>
        <w:bidi w:val="0"/>
        <w:spacing w:before="0" w:after="240"/>
        <w:ind w:left="72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07" w:name="a3Criticalaccountingestimatesandassumpti"/>
      <w:bookmarkEnd w:id="807"/>
      <w:r>
        <w:rPr>
          <w:rFonts w:ascii="Times New Roman;Times;serif" w:hAnsi="Times New Roman;Times;serif"/>
          <w:b/>
          <w:i w:val="false"/>
          <w:caps w:val="false"/>
          <w:smallCaps w:val="false"/>
          <w:sz w:val="20"/>
        </w:rPr>
        <w:t>3.</w:t>
      </w:r>
      <w:r>
        <w:rPr>
          <w:rFonts w:ascii="Times New Roman;Times;serif" w:hAnsi="Times New Roman;Times;serif"/>
          <w:b/>
          <w:sz w:val="20"/>
        </w:rPr>
        <w:t>Critical accounting estimates and assumptions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interim financial statements in accordance with IFRS requires management to make judgments, estimates and assumptions that may significantly affect the reported amounts of revenues, expenses, assets and liabilities, and the disclosure of contingent liabilities at the end of the reporting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Refer to the disclosure note 5.5.2 from the Group’s 2025 year-end consolidated financial statements for further details about the main critical accounting estimates and assumptions.</w:t>
      </w:r>
    </w:p>
    <w:p>
      <w:pPr>
        <w:pStyle w:val="TextBody"/>
        <w:bidi w:val="0"/>
        <w:spacing w:before="0" w:after="240"/>
        <w:ind w:left="0" w:right="0" w:hanging="0"/>
        <w:jc w:val="left"/>
        <w:rPr>
          <w:rFonts w:ascii="Times New Roman;Times;serif" w:hAnsi="Times New Roman;Times;serif"/>
          <w:b/>
          <w:sz w:val="20"/>
        </w:rPr>
      </w:pPr>
      <w:bookmarkStart w:id="808" w:name="a4Segmentreporting_162606"/>
      <w:bookmarkEnd w:id="808"/>
      <w:r>
        <w:rPr>
          <w:rFonts w:ascii="Times New Roman;Times;serif" w:hAnsi="Times New Roman;Times;serif"/>
          <w:b/>
          <w:i w:val="false"/>
          <w:caps w:val="false"/>
          <w:smallCaps w:val="false"/>
          <w:sz w:val="20"/>
        </w:rPr>
        <w:t>4.</w:t>
      </w:r>
      <w:r>
        <w:rPr>
          <w:rFonts w:ascii="Times New Roman;Times;serif" w:hAnsi="Times New Roman;Times;serif"/>
          <w:b/>
          <w:sz w:val="20"/>
        </w:rPr>
        <w:t>Segment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the organizational structure, as well as the nature of financial information available and reviewed by the Company’s chief operating decision makers to assess performance and make decisions about resource allocations, the Company has concluded that its total operations represent one reportable segment. The chief operating decision maker is the CEO.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09" w:name="a5FairValue_918839"/>
      <w:bookmarkEnd w:id="809"/>
      <w:r>
        <w:rPr>
          <w:rFonts w:ascii="Times New Roman;Times;serif" w:hAnsi="Times New Roman;Times;serif"/>
          <w:b/>
          <w:i w:val="false"/>
          <w:caps w:val="false"/>
          <w:smallCaps w:val="false"/>
          <w:sz w:val="20"/>
        </w:rPr>
        <w:t>5.</w:t>
      </w:r>
      <w:r>
        <w:rPr>
          <w:rFonts w:ascii="Times New Roman;Times;serif" w:hAnsi="Times New Roman;Times;serif"/>
          <w:b/>
          <w:sz w:val="20"/>
        </w:rPr>
        <w:t>Fair Value</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Financial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guarantees are recorded in the consolidated statement of financial position under “Other long-term receivables”. Upon release of the guarantees, interest is received for the duration of the guarantee, whereby the carrying amount approximates the fair value.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prepayment option, recorded in the consolidated statement of financial position under “Other long-term receivables”, related to the loan facility agreement with the European Investment Bank (“EIB”), is measured at fair value through profit and loss (see note 18.2).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carrying amount of trade and other receivables, other current assets, cash and cash equivalents and financial assets approximate their value due to their short-term character.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foreign currency forwards and swaps, recorded in the consolidated statement of financial position under “Other receivables”, are measured at fair value through profit and loss. Fair value is determined by the financial institution and is based on foreign currency swap rates and the maturity of the instrument. Refer to note 23.</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Financial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loan facility agreement with the EIB, recorded in the consolidated statement of financial position under “Financial debt”, is measured at amortized cost with a fixed interest rate. Refer to note 18.2. The fair value is evaluated based on the interest rates and maturity date. The instrument has a fixed interest rate and the fair value measurement is subject to changes in interest rates. The fair value measurement is classified as level 3.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synthetic warrants, in connection with the loan facility agreement with the EIB and recorded in the consolidated statement of financial position under “Financial debt”, are measured at fair value through profit and loss (see note 18.2). The fair value is determined using a binomial tree with 240 monthly periods (20 years) and the following key unobservable input: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Volatility of 65.144%, estimated based on the median of the annualized 90 - day standard deviation of daily volatility of Nasdaq stock prices over the period from July 2023 to June 2026.</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5% increase in volatility for Tranche A would result in an increase in fair value by €70,000, while a 5% decrease in volatility would result in a decrease in fair value by €81,000.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5% increase in volatility for Tranche B would result in an increase in fair value by €65,000, while a 5% decrease in volatility would result in a decrease in fair value by €76,000.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convertible bonds, recorded in the consolidated statement of financial position under “Financial debt”, are measured at fair value through profit and loss (see note 18.3). The fair value is determined using the Longstaff-Schwartz Monte Carlo valuation model. We refer to note 18.3 for the overview of the key assumptions. A 5% increase in volatility would result in an increase in fair value by €0.8 million, while a 5% decrease in volatility would result in a decrease in fair value by €0.8 million. A 1% increase in credit spread would result in a decrease in fair value by €158,000, while a 1% decrease in credit spread would result in an increase in fair value by €164,000.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carrying value of trade and other liabilities approximates their fair value due to the short-term character of these instruments. The sensitivity on the fair value measurements of the recoverable cash advances are further detailed in note 18.1.</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810" w:name="Tc_8RI9eZeajUOK-cgyxIgdbQ_10_0"/>
      <w:bookmarkStart w:id="811" w:name="Tc_xllokbKqDki4AkUjvLX5zA_9_0"/>
      <w:bookmarkStart w:id="812" w:name="Tc_7T6dTsiW4k2OK-evL0AgLg_8_0"/>
      <w:bookmarkStart w:id="813" w:name="Tc_y0n_Ls4xYUW3EyxPrGuR1Q_7_0"/>
      <w:bookmarkStart w:id="814" w:name="Tc_hWbe8Mn2lUKyH-jGgIgCFg_6_0"/>
      <w:bookmarkStart w:id="815" w:name="Tc_nvQCoShrxUW-tXr912NvYA_5_0"/>
      <w:bookmarkStart w:id="816" w:name="Tc_lMr85LfPSESBqgApcladkg_4_8"/>
      <w:bookmarkStart w:id="817" w:name="Tc_r61hD_jQekW-kECFshFvxg_4_6"/>
      <w:bookmarkStart w:id="818" w:name="Tc_3mRsZNS5fkWmRzNnCUX1dA_4_4"/>
      <w:bookmarkStart w:id="819" w:name="Tc_kaXe-DKt4kuUMix0sGMV2g_4_2"/>
      <w:bookmarkStart w:id="820" w:name="Tc_l6TVlJi8X0KFZegCDNAZRA_4_0"/>
      <w:bookmarkStart w:id="821" w:name="Tc_dSGm8PE3xE6Z576dZlt0Fg_3_8"/>
      <w:bookmarkStart w:id="822" w:name="Tc_4TnnfrPzvUugJTo4I8fmTg_3_6"/>
      <w:bookmarkStart w:id="823" w:name="Tc_PQ2uxWJ9s0CYpaafoSl4HQ_3_4"/>
      <w:bookmarkStart w:id="824" w:name="Tc_IZANSiKbgEmUi2k5n8MujA_3_2"/>
      <w:bookmarkStart w:id="825" w:name="Tc_W_Il2JhdlUu9n8AbgfCblA_2_8"/>
      <w:bookmarkStart w:id="826" w:name="Tc_Bzggt7FhbEeVkHTta_oEww_2_6"/>
      <w:bookmarkStart w:id="827" w:name="Tc_XFD37y4IeUqmIoLZXDZXJw_2_4"/>
      <w:bookmarkStart w:id="828" w:name="Tc_EBesnoiamk28AyBrVwO7Qw_2_2"/>
      <w:bookmarkStart w:id="829" w:name="Tc_31pVD9F2rUCpbiUFldUZ_w_1_6"/>
      <w:bookmarkStart w:id="830" w:name="Tc_aHvPTtgh5kS7ZSR9NHaGug_1_2"/>
      <w:bookmarkStart w:id="831" w:name="_71fadf33_cdac_4916_b397_6d82dc32909f"/>
      <w:bookmarkStart w:id="832" w:name="Tc_9zDsbm9qB0irB-_rkog7pA_12_0"/>
      <w:bookmarkStart w:id="833" w:name="Tc_zcoe_rYZq0OHyMSZ3IUBQg_11_0"/>
      <w:bookmarkStart w:id="834" w:name="Tc_ePaJC_McLUmpT-q-IzcF_A_10_0"/>
      <w:bookmarkStart w:id="835" w:name="Tc_uRUGaghw9kO6Vwgmlxmv4w_9_6"/>
      <w:bookmarkStart w:id="836" w:name="Tc_Kj6A8_MLrE6mJFp-oryarg_9_2"/>
      <w:bookmarkStart w:id="837" w:name="Tc_6ArvJlg7fkysZK9DWkFb4A_9_0"/>
      <w:bookmarkStart w:id="838" w:name="Tc_43GnbjvYY0i61b5oqWGCGQ_8_0"/>
      <w:bookmarkStart w:id="839" w:name="Tc_GpWkTz8Uc0SNRJ_WPdQMhw_7_0"/>
      <w:bookmarkStart w:id="840" w:name="Tc_yA3o4q9uRU-rlEfcT9PfOw_6_0"/>
      <w:bookmarkStart w:id="841" w:name="Tc_l9BA-OUrrkGFK-kOsN-OBw_5_0"/>
      <w:bookmarkStart w:id="842" w:name="Tc_vSf__D-Pm0q5NsWU1P4QIQ_4_8"/>
      <w:bookmarkStart w:id="843" w:name="Tc_M4ciy6yPskKwYK0hkhKGLw_4_6"/>
      <w:bookmarkStart w:id="844" w:name="Tc_elvS9axj0E28NjqDlNqn_w_4_4"/>
      <w:bookmarkStart w:id="845" w:name="Tc_r4P1IwixdUmnt-iZSGGlPQ_4_2"/>
      <w:bookmarkStart w:id="846" w:name="Tc_4ZOqUG7hXE6Su39iN_hVYw_4_0"/>
      <w:bookmarkStart w:id="847" w:name="Tc_Aru83ZvzGEKdPL4CkwETxQ_3_8"/>
      <w:bookmarkStart w:id="848" w:name="Tc_GazutUgbJkSajbOsQK29Xw_3_6"/>
      <w:bookmarkStart w:id="849" w:name="Tc_zj_oG__pA06KKwlene1s4Q_3_4"/>
      <w:bookmarkStart w:id="850" w:name="Tc_pcyR7jrsNEaqnT-ov1v--A_3_2"/>
      <w:bookmarkStart w:id="851" w:name="Tc_S-l2TNubgkabAGW_AduFBQ_2_8"/>
      <w:bookmarkStart w:id="852" w:name="Tc_uOhbe0efI06cSCgHyP4iTQ_2_6"/>
      <w:bookmarkStart w:id="853" w:name="Tc_9mUPA-laAUW6Unay9rJY3g_2_4"/>
      <w:bookmarkStart w:id="854" w:name="Tc_dPI26WYOwkmJnfgKZa_wRw_2_2"/>
      <w:bookmarkStart w:id="855" w:name="Tc_puVqN42a00-bp-3-VF-AqA_1_6"/>
      <w:bookmarkStart w:id="856" w:name="Tc_51SPr6vbVEmzLh3D2Dkqgw_1_2"/>
      <w:bookmarkStart w:id="857" w:name="_fb9f6138_0586_45b8_ad87_2e57adc3fc27"/>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r>
        <w:rPr>
          <w:rFonts w:ascii="Times New Roman;Times;serif" w:hAnsi="Times New Roman;Times;serif"/>
          <w:sz w:val="20"/>
        </w:rPr>
        <w:t xml:space="preserve">There were no changes in the Group’s valuation processes, valuation techniques, and types of inputs used in the fair value measurements during the period. There were no transfers between level </w:t>
      </w:r>
      <w:r>
        <w:rPr>
          <w:rFonts w:ascii="Times New Roman;Times;serif" w:hAnsi="Times New Roman;Times;serif"/>
          <w:b w:val="false"/>
          <w:i w:val="false"/>
          <w:caps w:val="false"/>
          <w:smallCaps w:val="false"/>
          <w:sz w:val="20"/>
        </w:rPr>
        <w:t>1</w:t>
      </w:r>
      <w:r>
        <w:rPr>
          <w:rFonts w:ascii="Times New Roman;Times;serif" w:hAnsi="Times New Roman;Times;serif"/>
          <w:sz w:val="20"/>
        </w:rPr>
        <w:t xml:space="preserve"> and level </w:t>
      </w:r>
      <w:r>
        <w:rPr>
          <w:rFonts w:ascii="Times New Roman;Times;serif" w:hAnsi="Times New Roman;Times;serif"/>
          <w:b w:val="false"/>
          <w:i w:val="false"/>
          <w:caps w:val="false"/>
          <w:smallCaps w:val="false"/>
          <w:sz w:val="20"/>
        </w:rPr>
        <w:t>2</w:t>
      </w:r>
      <w:r>
        <w:rPr>
          <w:rFonts w:ascii="Times New Roman;Times;serif" w:hAnsi="Times New Roman;Times;serif"/>
          <w:sz w:val="20"/>
        </w:rPr>
        <w:t xml:space="preserve"> fair value measurements during the period and no transfers into or out of level 3 fair value measurements.</w:t>
      </w:r>
    </w:p>
    <w:p>
      <w:pPr>
        <w:pStyle w:val="TextBody"/>
        <w:bidi w:val="0"/>
        <w:spacing w:before="0" w:after="0"/>
        <w:ind w:left="0" w:right="0" w:hanging="0"/>
        <w:jc w:val="left"/>
        <w:rPr/>
      </w:pPr>
      <w:r>
        <w:rPr/>
        <w:t>​</w:t>
      </w:r>
    </w:p>
    <w:tbl>
      <w:tblPr>
        <w:tblW w:w="8779" w:type="dxa"/>
        <w:jc w:val="left"/>
        <w:tblInd w:w="0" w:type="dxa"/>
        <w:tblLayout w:type="fixed"/>
        <w:tblCellMar>
          <w:top w:w="0" w:type="dxa"/>
          <w:left w:w="0" w:type="dxa"/>
          <w:bottom w:w="0" w:type="dxa"/>
          <w:right w:w="0" w:type="dxa"/>
        </w:tblCellMar>
      </w:tblPr>
      <w:tblGrid>
        <w:gridCol w:w="3826"/>
        <w:gridCol w:w="346"/>
        <w:gridCol w:w="721"/>
        <w:gridCol w:w="146"/>
        <w:gridCol w:w="1141"/>
        <w:gridCol w:w="346"/>
        <w:gridCol w:w="721"/>
        <w:gridCol w:w="346"/>
        <w:gridCol w:w="1186"/>
      </w:tblGrid>
      <w:tr>
        <w:trPr/>
        <w:tc>
          <w:tcPr>
            <w:tcW w:w="3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429510" cy="175260"/>
                      <wp:effectExtent l="0" t="0" r="0" b="0"/>
                      <wp:wrapNone/>
                      <wp:docPr id="115" name="Frame108"/>
                      <a:graphic xmlns:a="http://schemas.openxmlformats.org/drawingml/2006/main">
                        <a:graphicData uri="http://schemas.microsoft.com/office/word/2010/wordprocessingShape">
                          <wps:wsp>
                            <wps:cNvSpPr txBox="1"/>
                            <wps:spPr>
                              <a:xfrm>
                                <a:off x="0" y="0"/>
                                <a:ext cx="2429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457835" cy="175260"/>
                      <wp:effectExtent l="0" t="0" r="0" b="0"/>
                      <wp:wrapNone/>
                      <wp:docPr id="117" name="Frame11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92710" cy="175260"/>
                      <wp:effectExtent l="0" t="0" r="0" b="0"/>
                      <wp:wrapNone/>
                      <wp:docPr id="118" name="Frame11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724535" cy="175260"/>
                      <wp:effectExtent l="0" t="0" r="0" b="0"/>
                      <wp:wrapNone/>
                      <wp:docPr id="119" name="Frame11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19710" cy="175260"/>
                      <wp:effectExtent l="0" t="0" r="0" b="0"/>
                      <wp:wrapNone/>
                      <wp:docPr id="120"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57835" cy="175260"/>
                      <wp:effectExtent l="0" t="0" r="0" b="0"/>
                      <wp:wrapNone/>
                      <wp:docPr id="121" name="Frame11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219710" cy="175260"/>
                      <wp:effectExtent l="0" t="0" r="0" b="0"/>
                      <wp:wrapNone/>
                      <wp:docPr id="122"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53110" cy="175260"/>
                      <wp:effectExtent l="0" t="0" r="0" b="0"/>
                      <wp:wrapNone/>
                      <wp:docPr id="123" name="Frame11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0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346" w:type="dxa"/>
            <w:tcBorders/>
            <w:vAlign w:val="center"/>
          </w:tcPr>
          <w:p>
            <w:pPr>
              <w:pStyle w:val="TableContents"/>
              <w:bidi w:val="0"/>
              <w:spacing w:before="0" w:after="0"/>
              <w:ind w:left="0" w:right="0" w:hanging="0"/>
              <w:jc w:val="center"/>
              <w:rPr/>
            </w:pPr>
            <w:r>
              <w:rPr/>
              <w:t>​</w:t>
            </w:r>
          </w:p>
        </w:tc>
        <w:tc>
          <w:tcPr>
            <w:tcW w:w="22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c>
          <w:tcPr>
            <w:tcW w:w="1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38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2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2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1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8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guarantees (level 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38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 option (level 3)</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1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38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receivables (level 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9,149</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9,149</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6,184</w:t>
            </w:r>
          </w:p>
        </w:tc>
      </w:tr>
      <w:tr>
        <w:trPr/>
        <w:tc>
          <w:tcPr>
            <w:tcW w:w="38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forwards and swaps (level 2)</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8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 (level 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382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(level 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64,115</w:t>
            </w:r>
          </w:p>
        </w:tc>
        <w:tc>
          <w:tcPr>
            <w:tcW w:w="1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64,115</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30,001</w:t>
            </w:r>
          </w:p>
        </w:tc>
      </w:tr>
      <w:tr>
        <w:trPr/>
        <w:tc>
          <w:tcPr>
            <w:tcW w:w="38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Financial assets (level 1)</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33,670</w:t>
            </w:r>
          </w:p>
        </w:tc>
        <w:tc>
          <w:tcPr>
            <w:tcW w:w="1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18,000</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33,670</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18,000</w:t>
            </w:r>
          </w:p>
        </w:tc>
      </w:tr>
    </w:tbl>
    <w:p>
      <w:pPr>
        <w:pStyle w:val="TextBody"/>
        <w:bidi w:val="0"/>
        <w:spacing w:before="0" w:after="0"/>
        <w:ind w:left="0" w:right="0" w:hanging="0"/>
        <w:jc w:val="left"/>
        <w:rPr/>
      </w:pPr>
      <w:r>
        <w:rPr/>
        <w:t>​</w:t>
      </w:r>
    </w:p>
    <w:tbl>
      <w:tblPr>
        <w:tblW w:w="8589" w:type="dxa"/>
        <w:jc w:val="left"/>
        <w:tblInd w:w="0" w:type="dxa"/>
        <w:tblLayout w:type="fixed"/>
        <w:tblCellMar>
          <w:top w:w="0" w:type="dxa"/>
          <w:left w:w="0" w:type="dxa"/>
          <w:bottom w:w="0" w:type="dxa"/>
          <w:right w:w="0" w:type="dxa"/>
        </w:tblCellMar>
      </w:tblPr>
      <w:tblGrid>
        <w:gridCol w:w="3436"/>
        <w:gridCol w:w="346"/>
        <w:gridCol w:w="721"/>
        <w:gridCol w:w="346"/>
        <w:gridCol w:w="1141"/>
        <w:gridCol w:w="346"/>
        <w:gridCol w:w="721"/>
        <w:gridCol w:w="346"/>
        <w:gridCol w:w="1186"/>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81860" cy="175260"/>
                      <wp:effectExtent l="0" t="0" r="0" b="0"/>
                      <wp:wrapNone/>
                      <wp:docPr id="124" name="Frame117"/>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219710" cy="175260"/>
                      <wp:effectExtent l="0" t="0" r="0" b="0"/>
                      <wp:wrapNone/>
                      <wp:docPr id="125"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57835" cy="175260"/>
                      <wp:effectExtent l="0" t="0" r="0" b="0"/>
                      <wp:wrapNone/>
                      <wp:docPr id="126" name="Frame11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7" name="Frame1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724535" cy="175260"/>
                      <wp:effectExtent l="0" t="0" r="0" b="0"/>
                      <wp:wrapNone/>
                      <wp:docPr id="128" name="Frame1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19710" cy="175260"/>
                      <wp:effectExtent l="0" t="0" r="0" b="0"/>
                      <wp:wrapNone/>
                      <wp:docPr id="129" name="Frame1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457835" cy="175260"/>
                      <wp:effectExtent l="0" t="0" r="0" b="0"/>
                      <wp:wrapNone/>
                      <wp:docPr id="130" name="Frame12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31" name="Frame1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753110" cy="175260"/>
                      <wp:effectExtent l="0" t="0" r="0" b="0"/>
                      <wp:wrapNone/>
                      <wp:docPr id="132" name="Frame12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0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Carrying value</w:t>
            </w:r>
          </w:p>
        </w:tc>
        <w:tc>
          <w:tcPr>
            <w:tcW w:w="346" w:type="dxa"/>
            <w:tcBorders/>
            <w:vAlign w:val="center"/>
          </w:tcPr>
          <w:p>
            <w:pPr>
              <w:pStyle w:val="TableContents"/>
              <w:bidi w:val="0"/>
              <w:spacing w:before="0" w:after="0"/>
              <w:ind w:left="0" w:right="0" w:hanging="0"/>
              <w:jc w:val="center"/>
              <w:rPr/>
            </w:pPr>
            <w:r>
              <w:rPr/>
              <w:t>​</w:t>
            </w:r>
          </w:p>
        </w:tc>
        <w:tc>
          <w:tcPr>
            <w:tcW w:w="22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 </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34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Financial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Loan facility agreement (level 3)</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18,787</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7,793</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19,537</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8,165</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Synthetic warrants (level 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7,420</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bonds (level 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22,328</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22,657</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29,438</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31,243</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Recoverable cash advances (level 3)</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9,051</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8,609</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9,051</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8,609</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other liabilities (level 1 and 3)</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15,100</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15,578</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15,100</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15,578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58" w:name="a6Subsidiaries_557274"/>
      <w:bookmarkEnd w:id="858"/>
      <w:r>
        <w:rPr>
          <w:rFonts w:ascii="Times New Roman;Times;serif" w:hAnsi="Times New Roman;Times;serif"/>
          <w:b/>
          <w:i w:val="false"/>
          <w:caps w:val="false"/>
          <w:smallCaps w:val="false"/>
          <w:sz w:val="20"/>
        </w:rPr>
        <w:t>6.</w:t>
      </w:r>
      <w:r>
        <w:rPr>
          <w:rFonts w:ascii="Times New Roman;Times;serif" w:hAnsi="Times New Roman;Times;serif"/>
          <w:b/>
          <w:sz w:val="20"/>
        </w:rPr>
        <w:t>Subsidiaries</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18"/>
        </w:rPr>
        <w:t>For all periods that are mentioned in this report, the Company owns 100% of the shares of:</w:t>
      </w:r>
    </w:p>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Nyxoah LTD, an Israeli company </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Nyxoah PTY LTD, an Australian company </w:t>
            </w:r>
          </w:p>
        </w:tc>
      </w:tr>
    </w:tbl>
    <w:tbl>
      <w:tblPr>
        <w:tblW w:w="3306" w:type="dxa"/>
        <w:jc w:val="left"/>
        <w:tblInd w:w="0" w:type="dxa"/>
        <w:tblLayout w:type="fixed"/>
        <w:tblCellMar>
          <w:top w:w="28" w:type="dxa"/>
          <w:left w:w="28" w:type="dxa"/>
          <w:bottom w:w="28" w:type="dxa"/>
          <w:right w:w="28" w:type="dxa"/>
        </w:tblCellMar>
      </w:tblPr>
      <w:tblGrid>
        <w:gridCol w:w="124"/>
        <w:gridCol w:w="256"/>
        <w:gridCol w:w="2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Inc, a US- based company</w:t>
            </w:r>
          </w:p>
        </w:tc>
      </w:tr>
    </w:tbl>
    <w:tbl>
      <w:tblPr>
        <w:tblW w:w="3396" w:type="dxa"/>
        <w:jc w:val="left"/>
        <w:tblInd w:w="0" w:type="dxa"/>
        <w:tblLayout w:type="fixed"/>
        <w:tblCellMar>
          <w:top w:w="28" w:type="dxa"/>
          <w:left w:w="28" w:type="dxa"/>
          <w:bottom w:w="28" w:type="dxa"/>
          <w:right w:w="28" w:type="dxa"/>
        </w:tblCellMar>
      </w:tblPr>
      <w:tblGrid>
        <w:gridCol w:w="124"/>
        <w:gridCol w:w="256"/>
        <w:gridCol w:w="3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Nyxoah GmbH, a German company</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59" w:name="a7PropertyPlantandEquipment_388780"/>
      <w:bookmarkEnd w:id="859"/>
      <w:r>
        <w:rPr>
          <w:rFonts w:ascii="Times New Roman;Times;serif" w:hAnsi="Times New Roman;Times;serif"/>
          <w:b/>
          <w:i w:val="false"/>
          <w:caps w:val="false"/>
          <w:smallCaps w:val="false"/>
          <w:sz w:val="20"/>
        </w:rPr>
        <w:t>7.</w:t>
      </w:r>
      <w:r>
        <w:rPr>
          <w:rFonts w:ascii="Times New Roman;Times;serif" w:hAnsi="Times New Roman;Times;serif"/>
          <w:b/>
          <w:sz w:val="20"/>
        </w:rPr>
        <w:t>Property, Plant and Equipment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total acquisitions for the six months ended June 30, 2026 amount to €2.0 million (2025: €0.8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main part of the acquisitions for the six months ended June 30, 2026 relate to leasehold improvements under construction. The leasehold improvements under construction relate to a new lease agreement that the Company entered into per January 1, 2026 for the setup of a new manufacturing line and cleanroom area in Belgium. The Company initially funds 100% of the cleanroom project costs, however, at the point of capitalization, 80% of the cleanroom project costs are recognised as unbilled receivable to reflect the contractual obligation of the lessor to fund 80% of the construction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depreciation charge amounts to €0.7 million in 2026 and to €457,000 in 2025 for the six months ended June 30.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60" w:name="Tc_y90o-K8XdU-MV0d5C13rmQ_19_0"/>
      <w:bookmarkStart w:id="861" w:name="Tc_HuCApkIsXkS_4mLztWfdFQ_18_0"/>
      <w:bookmarkStart w:id="862" w:name="Tc_izF3GQQWlEqve40572sy2A_17_0"/>
      <w:bookmarkStart w:id="863" w:name="Tc__69wBeZgFkOCXhvPDZibkA_16_0"/>
      <w:bookmarkStart w:id="864" w:name="Tc_7nAJnLlyD06yMVUFR4dvBw_15_0"/>
      <w:bookmarkStart w:id="865" w:name="Tc_iDQzfdxNxEu27HQ9FNH7GA_14_0"/>
      <w:bookmarkStart w:id="866" w:name="Tc_l-ej2MF4XE-QzvuTiQOdzA_13_0"/>
      <w:bookmarkStart w:id="867" w:name="Tc_XkQENKsxdUKuqnIYCiFe7A_12_0"/>
      <w:bookmarkStart w:id="868" w:name="Tc_6DyxekebQUKj-E5v-BEnuQ_11_0"/>
      <w:bookmarkStart w:id="869" w:name="Tc_4XpKT_lhfkmnhzgSWFGbUA_10_0"/>
      <w:bookmarkStart w:id="870" w:name="Tc_MQHxiNCI306Ye4JhXvuQyQ_9_0"/>
      <w:bookmarkStart w:id="871" w:name="Tc_2PxvfmcTm0i2s4hZTFdtmA_8_0"/>
      <w:bookmarkStart w:id="872" w:name="Tc_kmKomndtqUe8D_mdVPmNtg_7_0"/>
      <w:bookmarkStart w:id="873" w:name="Tc_QPGTgCZ8IUmkW5QxuTTITg_6_4"/>
      <w:bookmarkStart w:id="874" w:name="Tc_JltHBYoKSEexfzGdus__kQ_6_0"/>
      <w:bookmarkStart w:id="875" w:name="Tc_NTnTOeZka0mtyFvkpxJBCQ_5_0"/>
      <w:bookmarkStart w:id="876" w:name="Tc_JwDDnA9dwUSwPypSOPe4lQ_4_0"/>
      <w:bookmarkStart w:id="877" w:name="Tc_VYZew2noE06yoYm4KzMm4Q_3_0"/>
      <w:bookmarkStart w:id="878" w:name="Tc_Q-OD5Bmed0yaVDavtQeC4Q_2_6"/>
      <w:bookmarkStart w:id="879" w:name="Tc_SJgOIURO80KJmhUX1JIifg_2_4"/>
      <w:bookmarkStart w:id="880" w:name="Tc_zlupg_WZzE2bAEX-hEGIKw_2_2"/>
      <w:bookmarkStart w:id="881" w:name="Tc_p8doELiGf0GkPj1oK_zvWw_2_0"/>
      <w:bookmarkStart w:id="882" w:name="Tc_puiPUZQsKkCFhGyJTh0uMA_1_4"/>
      <w:bookmarkStart w:id="883" w:name="Tc_c_eXb7HFqUufjfZv6mB7Mw_1_2"/>
      <w:bookmarkStart w:id="884" w:name="a8Intangibleassets_87758"/>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r>
        <w:rPr>
          <w:rFonts w:ascii="Times New Roman;Times;serif" w:hAnsi="Times New Roman;Times;serif"/>
          <w:b/>
          <w:i w:val="false"/>
          <w:caps w:val="false"/>
          <w:smallCaps w:val="false"/>
          <w:sz w:val="20"/>
        </w:rPr>
        <w:t>8.</w:t>
      </w:r>
      <w:r>
        <w:rPr>
          <w:rFonts w:ascii="Times New Roman;Times;serif" w:hAnsi="Times New Roman;Times;serif"/>
          <w:b/>
          <w:sz w:val="20"/>
        </w:rPr>
        <w:t>Intangible assets</w:t>
      </w:r>
    </w:p>
    <w:p>
      <w:pPr>
        <w:pStyle w:val="TextBody"/>
        <w:bidi w:val="0"/>
        <w:spacing w:before="0" w:after="0"/>
        <w:ind w:left="0" w:right="0" w:hanging="0"/>
        <w:jc w:val="left"/>
        <w:rPr/>
      </w:pPr>
      <w:r>
        <w:rPr/>
        <w:t>​</w:t>
      </w:r>
    </w:p>
    <w:tbl>
      <w:tblPr>
        <w:tblW w:w="7267" w:type="dxa"/>
        <w:jc w:val="left"/>
        <w:tblInd w:w="0" w:type="dxa"/>
        <w:tblLayout w:type="fixed"/>
        <w:tblCellMar>
          <w:top w:w="0" w:type="dxa"/>
          <w:left w:w="0" w:type="dxa"/>
          <w:bottom w:w="0" w:type="dxa"/>
          <w:right w:w="0" w:type="dxa"/>
        </w:tblCellMar>
      </w:tblPr>
      <w:tblGrid>
        <w:gridCol w:w="3436"/>
        <w:gridCol w:w="346"/>
        <w:gridCol w:w="1051"/>
        <w:gridCol w:w="346"/>
        <w:gridCol w:w="961"/>
        <w:gridCol w:w="346"/>
        <w:gridCol w:w="781"/>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181860" cy="175260"/>
                      <wp:effectExtent l="0" t="0" r="0" b="0"/>
                      <wp:wrapNone/>
                      <wp:docPr id="133" name="Frame126"/>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34" name="Frame1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67385" cy="175260"/>
                      <wp:effectExtent l="0" t="0" r="0" b="0"/>
                      <wp:wrapNone/>
                      <wp:docPr id="135" name="Frame12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10235" cy="175260"/>
                      <wp:effectExtent l="0" t="0" r="0" b="0"/>
                      <wp:wrapNone/>
                      <wp:docPr id="137" name="Frame130"/>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19710" cy="175260"/>
                      <wp:effectExtent l="0" t="0" r="0" b="0"/>
                      <wp:wrapNone/>
                      <wp:docPr id="138"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495935" cy="175260"/>
                      <wp:effectExtent l="0" t="0" r="0" b="0"/>
                      <wp:wrapNone/>
                      <wp:docPr id="139" name="Frame13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Development</w:t>
            </w:r>
          </w:p>
        </w:tc>
        <w:tc>
          <w:tcPr>
            <w:tcW w:w="346" w:type="dxa"/>
            <w:tcBorders/>
            <w:vAlign w:val="center"/>
          </w:tcPr>
          <w:p>
            <w:pPr>
              <w:pStyle w:val="TableContents"/>
              <w:bidi w:val="0"/>
              <w:spacing w:before="0" w:after="0"/>
              <w:ind w:left="0" w:right="0" w:hanging="0"/>
              <w:jc w:val="center"/>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Patents and</w:t>
            </w:r>
          </w:p>
        </w:tc>
        <w:tc>
          <w:tcPr>
            <w:tcW w:w="346"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licenses</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 value at January 1, 2025</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53,410</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54,001</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1,507</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movements</w:t>
            </w:r>
          </w:p>
        </w:tc>
        <w:tc>
          <w:tcPr>
            <w:tcW w:w="34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at June 30, 2025</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54,913</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55,504</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 value at January 1, 2026</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55,367</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55,958</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Cost at June 30, 2026</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55,521</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591</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56,112</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  ​</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 amortization at January 1, 2025</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(3,452)</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(3,620)</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(456)</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Amortization at June 30, 2025</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(3,908)</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(189)</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(4,097)</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Opening amortization at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(5,639)</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(5,850)</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(2,246)</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Amortization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(7,864)</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(232)</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(8,096)</w:t>
            </w:r>
          </w:p>
        </w:tc>
      </w:tr>
      <w:tr>
        <w:trPr/>
        <w:tc>
          <w:tcPr>
            <w:tcW w:w="343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book value at June 30, 2025</w:t>
            </w:r>
          </w:p>
        </w:tc>
        <w:tc>
          <w:tcPr>
            <w:tcW w:w="34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51,005</w:t>
            </w:r>
          </w:p>
        </w:tc>
        <w:tc>
          <w:tcPr>
            <w:tcW w:w="34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402</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51,407</w:t>
            </w:r>
          </w:p>
        </w:tc>
      </w:tr>
      <w:tr>
        <w:trPr/>
        <w:tc>
          <w:tcPr>
            <w:tcW w:w="343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book value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47,657</w:t>
            </w:r>
          </w:p>
        </w:tc>
        <w:tc>
          <w:tcPr>
            <w:tcW w:w="34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359</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48,016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develops The Genio system. The Company started amortizing the first-generation Genio system in 2021. Following the FDA approval for the Genio system on August 8, 2025, the amortization of the related intangible assets commenced in Q3 2025. Due to the finalization of one of the clinical studies the amortization of the related intangible assets started in Q2 2026. Total amortization amounted to €2.2 million for the six months ended June 30, 2026 (2025: €456,000) and is included in research and development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continues to incur in 2026 development expenses with regard to the improved second-generation Genio system. The total capitalized development expenses amounted to €154,000 and €1.5 million for the six months ended June 30, 2026, and 2025, respectively. The development of the ongoing R&amp;D projects is expected to be finalized in 2026.</w:t>
      </w:r>
    </w:p>
    <w:p>
      <w:pPr>
        <w:pStyle w:val="TextBody"/>
        <w:bidi w:val="0"/>
        <w:spacing w:before="0" w:after="240"/>
        <w:ind w:left="0" w:right="0" w:hanging="0"/>
        <w:jc w:val="left"/>
        <w:rPr>
          <w:rFonts w:ascii="Times New Roman;Times;serif" w:hAnsi="Times New Roman;Times;serif"/>
          <w:b/>
          <w:sz w:val="20"/>
        </w:rPr>
      </w:pPr>
      <w:bookmarkStart w:id="885" w:name="a9Rightofuseassetsandleaseliabilities_32"/>
      <w:bookmarkEnd w:id="885"/>
      <w:r>
        <w:rPr>
          <w:rFonts w:ascii="Times New Roman;Times;serif" w:hAnsi="Times New Roman;Times;serif"/>
          <w:b/>
          <w:i w:val="false"/>
          <w:caps w:val="false"/>
          <w:smallCaps w:val="false"/>
          <w:sz w:val="20"/>
        </w:rPr>
        <w:t>9.</w:t>
      </w:r>
      <w:r>
        <w:rPr>
          <w:rFonts w:ascii="Times New Roman;Times;serif" w:hAnsi="Times New Roman;Times;serif"/>
          <w:b/>
          <w:sz w:val="20"/>
        </w:rPr>
        <w:t>Right of use assets and lease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For the six months ended June 30, 2026, the Company entered into new lease agreements for a total of €1.0 million (2025: €34,000). The main part of the addition is related to a new lease agreement for a building to set up a new manufacturing line and cleanroom area in Belgium.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repayments of lease liabilities amounted to €0.6 million (2025: €0.7 million). The depreciations on the right of use assets amounted to €0.6 million and €0.6 million for the six months ended June 30, 2026, and 2025, respectively.</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bookmarkStart w:id="886" w:name="Tc_uefPlSrAn0ShUlExHBh1-A_7_0"/>
      <w:bookmarkStart w:id="887" w:name="Tc_XdGSK5fTh0KXjFvOJu06Ig_6_0"/>
      <w:bookmarkStart w:id="888" w:name="Tc_ZSLCFk94_keNukLhv7I41g_5_0"/>
      <w:bookmarkStart w:id="889" w:name="Tc_LdTVR6WiyEq-ZT2BK5ivbQ_4_0"/>
      <w:bookmarkStart w:id="890" w:name="Tc_dkmA8i1K7kWgyxKzUtr93A_3_4"/>
      <w:bookmarkStart w:id="891" w:name="Tc_uv5fgzfRu0iTfI0Y6AdRnA_3_2"/>
      <w:bookmarkStart w:id="892" w:name="Tc_jEEYu4bkyEKByPqYkmbkQA_3_0"/>
      <w:bookmarkStart w:id="893" w:name="Tc_qd_E4dz4fEG11giWzn0-gA_2_4"/>
      <w:bookmarkStart w:id="894" w:name="Tc_BDz6T0a-hUa4-yfZNKhZ8g_2_2"/>
      <w:bookmarkStart w:id="895" w:name="Tc_bf__6h-HwE2o6jYG878HnA_1_2"/>
      <w:bookmarkStart w:id="896" w:name="a10Otherlongtermreceivables_365535"/>
      <w:bookmarkEnd w:id="886"/>
      <w:bookmarkEnd w:id="887"/>
      <w:bookmarkEnd w:id="888"/>
      <w:bookmarkEnd w:id="889"/>
      <w:bookmarkEnd w:id="890"/>
      <w:bookmarkEnd w:id="891"/>
      <w:bookmarkEnd w:id="892"/>
      <w:bookmarkEnd w:id="893"/>
      <w:bookmarkEnd w:id="894"/>
      <w:bookmarkEnd w:id="895"/>
      <w:bookmarkEnd w:id="896"/>
      <w:r>
        <w:rPr>
          <w:rFonts w:ascii="Times New Roman;Times;serif" w:hAnsi="Times New Roman;Times;serif"/>
          <w:b/>
          <w:i w:val="false"/>
          <w:caps w:val="false"/>
          <w:smallCaps w:val="false"/>
          <w:sz w:val="20"/>
        </w:rPr>
        <w:t>10.</w:t>
      </w:r>
      <w:r>
        <w:rPr>
          <w:rFonts w:ascii="Times New Roman;Times;serif" w:hAnsi="Times New Roman;Times;serif"/>
          <w:b/>
          <w:sz w:val="20"/>
        </w:rPr>
        <w:t>Other long-term receivables</w:t>
      </w:r>
    </w:p>
    <w:p>
      <w:pPr>
        <w:pStyle w:val="TextBody"/>
        <w:bidi w:val="0"/>
        <w:spacing w:before="0" w:after="0"/>
        <w:ind w:left="0" w:right="0" w:hanging="0"/>
        <w:jc w:val="left"/>
        <w:rPr/>
      </w:pPr>
      <w:r>
        <w:rPr/>
        <w:t>​</w:t>
      </w:r>
    </w:p>
    <w:tbl>
      <w:tblPr>
        <w:tblW w:w="5510" w:type="dxa"/>
        <w:jc w:val="left"/>
        <w:tblInd w:w="0" w:type="dxa"/>
        <w:tblLayout w:type="fixed"/>
        <w:tblCellMar>
          <w:top w:w="0" w:type="dxa"/>
          <w:left w:w="0" w:type="dxa"/>
          <w:bottom w:w="0" w:type="dxa"/>
          <w:right w:w="0" w:type="dxa"/>
        </w:tblCellMar>
      </w:tblPr>
      <w:tblGrid>
        <w:gridCol w:w="2956"/>
        <w:gridCol w:w="346"/>
        <w:gridCol w:w="721"/>
        <w:gridCol w:w="346"/>
        <w:gridCol w:w="1141"/>
      </w:tblGrid>
      <w:tr>
        <w:trPr/>
        <w:tc>
          <w:tcPr>
            <w:tcW w:w="29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877060" cy="175260"/>
                      <wp:effectExtent l="0" t="0" r="0" b="0"/>
                      <wp:wrapNone/>
                      <wp:docPr id="140" name="Frame133"/>
                      <a:graphic xmlns:a="http://schemas.openxmlformats.org/drawingml/2006/main">
                        <a:graphicData uri="http://schemas.microsoft.com/office/word/2010/wordprocessingShape">
                          <wps:wsp>
                            <wps:cNvSpPr txBox="1"/>
                            <wps:spPr>
                              <a:xfrm>
                                <a:off x="0" y="0"/>
                                <a:ext cx="1877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19710" cy="175260"/>
                      <wp:effectExtent l="0" t="0" r="0" b="0"/>
                      <wp:wrapNone/>
                      <wp:docPr id="141"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57835" cy="175260"/>
                      <wp:effectExtent l="0" t="0" r="0" b="0"/>
                      <wp:wrapNone/>
                      <wp:docPr id="142" name="Frame13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19710" cy="175260"/>
                      <wp:effectExtent l="0" t="0" r="0" b="0"/>
                      <wp:wrapNone/>
                      <wp:docPr id="143"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24535" cy="175260"/>
                      <wp:effectExtent l="0" t="0" r="0" b="0"/>
                      <wp:wrapNone/>
                      <wp:docPr id="144" name="Frame13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295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95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1"/>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R&amp;D tax incentive</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1,258</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1,233</w:t>
            </w:r>
          </w:p>
        </w:tc>
      </w:tr>
      <w:tr>
        <w:trPr/>
        <w:tc>
          <w:tcPr>
            <w:tcW w:w="295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Prepayment option</w:t>
            </w:r>
          </w:p>
        </w:tc>
        <w:tc>
          <w:tcPr>
            <w:tcW w:w="346"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r>
      <w:tr>
        <w:trPr/>
        <w:tc>
          <w:tcPr>
            <w:tcW w:w="295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guarantees</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507</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394</w:t>
            </w:r>
          </w:p>
        </w:tc>
      </w:tr>
      <w:tr>
        <w:trPr/>
        <w:tc>
          <w:tcPr>
            <w:tcW w:w="295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long term receivables</w:t>
            </w:r>
          </w:p>
        </w:tc>
        <w:tc>
          <w:tcPr>
            <w:tcW w:w="34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1,831</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1,718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other long-term receivables consist of cash guarantees for an amount of €0.5 million (2025: €394,000), prepayment options valued at €66,000 (2025: €91,000) and an R&amp;D tax incentive in Belgium for an amount of €1.3 million (2025: €1.2 million) related to certain development activities and clinical trials. The Company recognizes the research and development incentive as a long-term receivable and as a deduction from the carrying amount of the (in)tangible asset.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further details regarding the prepayment options, refer to 18.2.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R&amp;D tax incentive recorded as at June 30, 2026 relates to investments both on tangible and intangible assets for the years 2022 until 2026. The incentives are expected to be received 5 years after the investments are made. However, following the Law of May 12, 2024 (Belgian Gazette May 29, 2024), the Belgian R&amp;D tax credit regime has been amended. As of 2024, the R&amp;D tax incentive will be refunded after 4 years instead of 5 years. We refer to note 24.</w:t>
      </w:r>
    </w:p>
    <w:p>
      <w:pPr>
        <w:pStyle w:val="TextBody"/>
        <w:bidi w:val="0"/>
        <w:spacing w:before="0" w:after="0"/>
        <w:ind w:left="0" w:right="0" w:hanging="0"/>
        <w:jc w:val="left"/>
        <w:rPr>
          <w:rFonts w:ascii="Times New Roman;Times;serif" w:hAnsi="Times New Roman;Times;serif"/>
          <w:b/>
          <w:sz w:val="20"/>
        </w:rPr>
      </w:pPr>
      <w:bookmarkStart w:id="897" w:name="Tc_VxhcuqsjtEmOdPXXXfKw8Q_7_0"/>
      <w:bookmarkStart w:id="898" w:name="Tc_vXVc4XNlSEmOAFS30Z6X7A_6_0"/>
      <w:bookmarkStart w:id="899" w:name="Tc_sMX9OYfOPESf_Gcm8JPlHQ_5_0"/>
      <w:bookmarkStart w:id="900" w:name="Tc_1p-41c8pGE62VMYD6iR36A_4_0"/>
      <w:bookmarkStart w:id="901" w:name="Tc_68_N8h_Uyk6PYlITA-30wA_3_4"/>
      <w:bookmarkStart w:id="902" w:name="Tc_PP4U47GFokaIq7_wNwwcJw_3_2"/>
      <w:bookmarkStart w:id="903" w:name="Tc_9bpkdYBBW0S6HK657cW0vA_3_0"/>
      <w:bookmarkStart w:id="904" w:name="Tc_HoxhQD4yYkSCAeEzSGzeuw_2_4"/>
      <w:bookmarkStart w:id="905" w:name="Tc_cFrxizEOv0CmJO6YtxRbVQ_2_2"/>
      <w:bookmarkStart w:id="906" w:name="Tc_5Nm1FuyzHEeq671BaZw7Iw_1_2"/>
      <w:bookmarkStart w:id="907" w:name="a10Inventory_280737"/>
      <w:bookmarkEnd w:id="897"/>
      <w:bookmarkEnd w:id="898"/>
      <w:bookmarkEnd w:id="899"/>
      <w:bookmarkEnd w:id="900"/>
      <w:bookmarkEnd w:id="901"/>
      <w:bookmarkEnd w:id="902"/>
      <w:bookmarkEnd w:id="903"/>
      <w:bookmarkEnd w:id="904"/>
      <w:bookmarkEnd w:id="905"/>
      <w:bookmarkEnd w:id="906"/>
      <w:bookmarkEnd w:id="907"/>
      <w:r>
        <w:rPr>
          <w:rFonts w:ascii="Times New Roman;Times;serif" w:hAnsi="Times New Roman;Times;serif"/>
          <w:b/>
          <w:i w:val="false"/>
          <w:caps w:val="false"/>
          <w:smallCaps w:val="false"/>
          <w:sz w:val="20"/>
        </w:rPr>
        <w:t>11.</w:t>
      </w:r>
      <w:r>
        <w:rPr>
          <w:rFonts w:ascii="Times New Roman;Times;serif" w:hAnsi="Times New Roman;Times;serif"/>
          <w:b/>
          <w:sz w:val="20"/>
        </w:rPr>
        <w:t>Inventory</w:t>
      </w:r>
    </w:p>
    <w:p>
      <w:pPr>
        <w:pStyle w:val="TextBody"/>
        <w:bidi w:val="0"/>
        <w:spacing w:before="0" w:after="240"/>
        <w:ind w:left="0" w:right="0" w:hanging="0"/>
        <w:jc w:val="both"/>
        <w:rPr/>
      </w:pPr>
      <w:r>
        <w:rPr/>
        <w:t>​</w:t>
      </w:r>
    </w:p>
    <w:tbl>
      <w:tblPr>
        <w:tblW w:w="4100" w:type="dxa"/>
        <w:jc w:val="left"/>
        <w:tblInd w:w="0" w:type="dxa"/>
        <w:tblLayout w:type="fixed"/>
        <w:tblCellMar>
          <w:top w:w="0" w:type="dxa"/>
          <w:left w:w="0" w:type="dxa"/>
          <w:bottom w:w="0" w:type="dxa"/>
          <w:right w:w="0" w:type="dxa"/>
        </w:tblCellMar>
      </w:tblPr>
      <w:tblGrid>
        <w:gridCol w:w="1501"/>
        <w:gridCol w:w="346"/>
        <w:gridCol w:w="721"/>
        <w:gridCol w:w="346"/>
        <w:gridCol w:w="1186"/>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953135" cy="175260"/>
                      <wp:effectExtent l="0" t="0" r="0" b="0"/>
                      <wp:wrapNone/>
                      <wp:docPr id="145" name="Frame138"/>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219710" cy="175260"/>
                      <wp:effectExtent l="0" t="0" r="0" b="0"/>
                      <wp:wrapNone/>
                      <wp:docPr id="146"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457835" cy="175260"/>
                      <wp:effectExtent l="0" t="0" r="0" b="0"/>
                      <wp:wrapNone/>
                      <wp:docPr id="147" name="Frame140"/>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9710" cy="175260"/>
                      <wp:effectExtent l="0" t="0" r="0" b="0"/>
                      <wp:wrapNone/>
                      <wp:docPr id="148"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753110" cy="175260"/>
                      <wp:effectExtent l="0" t="0" r="0" b="0"/>
                      <wp:wrapNone/>
                      <wp:docPr id="149" name="Frame14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150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50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Raw materials</w:t>
            </w:r>
          </w:p>
        </w:tc>
        <w:tc>
          <w:tcPr>
            <w:tcW w:w="346" w:type="dxa"/>
            <w:tcBorders/>
            <w:shd w:fill="CCEEFF" w:val="clear"/>
            <w:vAlign w:val="center"/>
          </w:tcPr>
          <w:p>
            <w:pPr>
              <w:pStyle w:val="TableContents"/>
              <w:bidi w:val="0"/>
              <w:spacing w:before="0" w:after="0"/>
              <w:ind w:left="0" w:right="0" w:hanging="0"/>
              <w:jc w:val="center"/>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1,311</w:t>
            </w:r>
          </w:p>
        </w:tc>
        <w:tc>
          <w:tcPr>
            <w:tcW w:w="346" w:type="dxa"/>
            <w:tcBorders/>
            <w:shd w:fill="CCEEFF" w:val="clear"/>
            <w:vAlign w:val="center"/>
          </w:tcPr>
          <w:p>
            <w:pPr>
              <w:pStyle w:val="TableContents"/>
              <w:bidi w:val="0"/>
              <w:spacing w:before="0" w:after="0"/>
              <w:ind w:left="0" w:right="0" w:hanging="0"/>
              <w:jc w:val="center"/>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1,315</w:t>
            </w:r>
          </w:p>
        </w:tc>
      </w:tr>
      <w:tr>
        <w:trPr/>
        <w:tc>
          <w:tcPr>
            <w:tcW w:w="150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1,851</w:t>
            </w:r>
          </w:p>
        </w:tc>
      </w:tr>
      <w:tr>
        <w:trPr/>
        <w:tc>
          <w:tcPr>
            <w:tcW w:w="150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1,647</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1,494</w:t>
            </w:r>
          </w:p>
        </w:tc>
      </w:tr>
      <w:tr>
        <w:trPr/>
        <w:tc>
          <w:tcPr>
            <w:tcW w:w="150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Inventory</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3,706</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4,660</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decrease in inventory is mainly due to a decrease in work in progress partly offset by an increase in finished goods.</w:t>
      </w:r>
    </w:p>
    <w:p>
      <w:pPr>
        <w:pStyle w:val="TextBody"/>
        <w:bidi w:val="0"/>
        <w:spacing w:before="0" w:after="0"/>
        <w:ind w:left="0" w:right="0" w:hanging="0"/>
        <w:jc w:val="left"/>
        <w:rPr>
          <w:rFonts w:ascii="Times New Roman;Times;serif" w:hAnsi="Times New Roman;Times;serif"/>
          <w:b/>
          <w:sz w:val="20"/>
        </w:rPr>
      </w:pPr>
      <w:bookmarkStart w:id="908" w:name="Tc_8Pq5XM2NwEywPG2k-PbwRQ_13_0"/>
      <w:bookmarkStart w:id="909" w:name="Tc_DXEPerxNmEaRIsHA2j--cA_12_0"/>
      <w:bookmarkStart w:id="910" w:name="Tc_K-1qqw6mg0S-oJ0vfRg2Iw_11_2"/>
      <w:bookmarkStart w:id="911" w:name="Tc_u7px2pGWx0OaRCxre3Edfg_11_0"/>
      <w:bookmarkStart w:id="912" w:name="Tc_M6X7QQxbZE-tRAt9ZmFNlg_10_0"/>
      <w:bookmarkStart w:id="913" w:name="Tc_tcwDGHE0P0C6_lcg8UAQ1g_9_0"/>
      <w:bookmarkStart w:id="914" w:name="Tc_eCTnJi-Hzkuukse_2DGs5g_8_0"/>
      <w:bookmarkStart w:id="915" w:name="Tc_qjKQFX-_SEm4Neex-am8NA_7_0"/>
      <w:bookmarkStart w:id="916" w:name="Tc_i-7EI8jYzESdtyySkIEJ5w_6_0"/>
      <w:bookmarkStart w:id="917" w:name="Tc_0_GxXMHOz0-3bpQ4_KLveQ_5_0"/>
      <w:bookmarkStart w:id="918" w:name="Tc_kIkM3wP7Tkm8If7R3Y-Sug_4_0"/>
      <w:bookmarkStart w:id="919" w:name="Tc_E4RzDt_3cE27PwkL1SAjKA_3_4"/>
      <w:bookmarkStart w:id="920" w:name="Tc_XkPLbpcr-U-WLPw8EDIJhw_3_2"/>
      <w:bookmarkStart w:id="921" w:name="Tc_WHj6s1IxdEmqSnfB2eVxeA_3_0"/>
      <w:bookmarkStart w:id="922" w:name="Tc_1x9rQ4pKT02TG5pVtevf-g_2_4"/>
      <w:bookmarkStart w:id="923" w:name="Tc_grcWD9AaHUWWLpKLKacttQ_2_2"/>
      <w:bookmarkStart w:id="924" w:name="Tc_9D-KXLym3ESU5gUryfgCVg_1_2"/>
      <w:bookmarkStart w:id="925" w:name="a11TradeandOtherreceivables_60939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r>
        <w:rPr>
          <w:rFonts w:ascii="Times New Roman;Times;serif" w:hAnsi="Times New Roman;Times;serif"/>
          <w:b/>
          <w:i w:val="false"/>
          <w:caps w:val="false"/>
          <w:smallCaps w:val="false"/>
          <w:sz w:val="20"/>
        </w:rPr>
        <w:t>12.</w:t>
      </w:r>
      <w:r>
        <w:rPr>
          <w:rFonts w:ascii="Times New Roman;Times;serif" w:hAnsi="Times New Roman;Times;serif"/>
          <w:b/>
          <w:sz w:val="20"/>
        </w:rPr>
        <w:t>Trade receivables, Contract assets and Other receivables</w:t>
      </w:r>
    </w:p>
    <w:p>
      <w:pPr>
        <w:pStyle w:val="TextBody"/>
        <w:bidi w:val="0"/>
        <w:spacing w:before="0" w:after="240"/>
        <w:ind w:left="0" w:right="0" w:hanging="0"/>
        <w:jc w:val="both"/>
        <w:rPr/>
      </w:pPr>
      <w:r>
        <w:rPr/>
        <w:t>​</w:t>
      </w:r>
    </w:p>
    <w:tbl>
      <w:tblPr>
        <w:tblW w:w="7865" w:type="dxa"/>
        <w:jc w:val="left"/>
        <w:tblInd w:w="0" w:type="dxa"/>
        <w:tblLayout w:type="fixed"/>
        <w:tblCellMar>
          <w:top w:w="0" w:type="dxa"/>
          <w:left w:w="0" w:type="dxa"/>
          <w:bottom w:w="0" w:type="dxa"/>
          <w:right w:w="0" w:type="dxa"/>
        </w:tblCellMar>
      </w:tblPr>
      <w:tblGrid>
        <w:gridCol w:w="5266"/>
        <w:gridCol w:w="346"/>
        <w:gridCol w:w="721"/>
        <w:gridCol w:w="346"/>
        <w:gridCol w:w="1186"/>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3343910" cy="175260"/>
                      <wp:effectExtent l="0" t="0" r="0" b="0"/>
                      <wp:wrapNone/>
                      <wp:docPr id="150" name="Frame143"/>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19710" cy="175260"/>
                      <wp:effectExtent l="0" t="0" r="0" b="0"/>
                      <wp:wrapNone/>
                      <wp:docPr id="151"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457835" cy="175260"/>
                      <wp:effectExtent l="0" t="0" r="0" b="0"/>
                      <wp:wrapNone/>
                      <wp:docPr id="152" name="Frame14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53" name="Frame1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753110" cy="175260"/>
                      <wp:effectExtent l="0" t="0" r="0" b="0"/>
                      <wp:wrapNone/>
                      <wp:docPr id="154" name="Frame14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52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6,849</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5,254</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assets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764</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expected credit loss</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payments</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664</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307</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 incentive receivable (Australia)</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receivable</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tax receivable</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497</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swaps and forwards</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5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1,536</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w:t>
            </w:r>
          </w:p>
        </w:tc>
      </w:tr>
      <w:tr>
        <w:trPr/>
        <w:tc>
          <w:tcPr>
            <w:tcW w:w="52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trade receivables, contract assets and other receivables</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10,381</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7,724</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increase of €2.7 million in trade receivables, contract assets and other receivables is mainly due to an increase in trade receivables by €1.6 million, an increase in other by €1.2 million and an increase in advance payments by €357,000. This is partly offset by a decrease in current tax receivable by €314,000. The increase in trade receivables is the result of an increase in quarter over quarter revenue.</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The Company can include unbilled receivables in its accounts receivable balance. Generally, these receivables represent earned revenue from products delivered to customers, which will be billed in the next billing cycle. All amounts are considered collectible and billable. As at December 31, 2025 and June 30, 2026, there were no unbilled receivables towards customers included in the other receivables. As at June 30, 2026, the increase of €1.2 million in other receivables is related to an invoicing in the context of a lease agreement for the cleanroom project described in note 7.</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R&amp;D incentive receivables relate to incentives received in Australia as a support to the clinical trials and the development of the Genio system.</w:t>
      </w:r>
    </w:p>
    <w:p>
      <w:pPr>
        <w:pStyle w:val="TextBody"/>
        <w:bidi w:val="0"/>
        <w:spacing w:before="0" w:after="200"/>
        <w:ind w:left="0" w:right="0" w:hanging="0"/>
        <w:jc w:val="both"/>
        <w:rPr>
          <w:rFonts w:ascii="Times New Roman;Times;serif" w:hAnsi="Times New Roman;Times;serif"/>
          <w:sz w:val="20"/>
        </w:rPr>
      </w:pPr>
      <w:r>
        <w:rPr>
          <w:rFonts w:ascii="Times New Roman;Times;serif" w:hAnsi="Times New Roman;Times;serif"/>
          <w:sz w:val="20"/>
        </w:rPr>
        <w:t>We refer to note 23 for more details on the foreign currency swaps and forwards.</w:t>
      </w:r>
    </w:p>
    <w:p>
      <w:pPr>
        <w:pStyle w:val="TextBody"/>
        <w:bidi w:val="0"/>
        <w:spacing w:before="0" w:after="240"/>
        <w:ind w:left="0" w:right="0" w:hanging="0"/>
        <w:jc w:val="left"/>
        <w:rPr>
          <w:rFonts w:ascii="Times New Roman;Times;serif" w:hAnsi="Times New Roman;Times;serif"/>
          <w:b/>
          <w:sz w:val="20"/>
        </w:rPr>
      </w:pPr>
      <w:bookmarkStart w:id="926" w:name="Tc_4KvipoLmXEOEL-PseVD1sw_5_0"/>
      <w:bookmarkStart w:id="927" w:name="Tc_EZcXRbcBzkmNC002vcKlGA_4_0"/>
      <w:bookmarkStart w:id="928" w:name="Tc_qDOI8zo6C0KkcjxwNYlLQg_3_0"/>
      <w:bookmarkStart w:id="929" w:name="Tc_Y03bysQC6ku1i35BHo02rQ_2_4"/>
      <w:bookmarkStart w:id="930" w:name="Tc_iP8056j3IEqSIhJdXprUAA_2_2"/>
      <w:bookmarkStart w:id="931" w:name="Tc_sxQJHtXW70OEhFbe4BnTRg_2_0"/>
      <w:bookmarkStart w:id="932" w:name="Tc_g6skHIzJeEqlat7mUpRoCQ_1_4"/>
      <w:bookmarkStart w:id="933" w:name="Tc_y47IzCJbqUCUTPNUni4SqA_1_2"/>
      <w:bookmarkStart w:id="934" w:name="Tc_U58rB8NctEKnWl3Nf0qSfg_0_2"/>
      <w:bookmarkStart w:id="935" w:name="_729107"/>
      <w:bookmarkStart w:id="936" w:name="Othercurrentassets_366889"/>
      <w:bookmarkEnd w:id="926"/>
      <w:bookmarkEnd w:id="927"/>
      <w:bookmarkEnd w:id="928"/>
      <w:bookmarkEnd w:id="929"/>
      <w:bookmarkEnd w:id="930"/>
      <w:bookmarkEnd w:id="931"/>
      <w:bookmarkEnd w:id="932"/>
      <w:bookmarkEnd w:id="933"/>
      <w:bookmarkEnd w:id="934"/>
      <w:bookmarkEnd w:id="935"/>
      <w:bookmarkEnd w:id="936"/>
      <w:r>
        <w:rPr>
          <w:rFonts w:ascii="Times New Roman;Times;serif" w:hAnsi="Times New Roman;Times;serif"/>
          <w:b/>
          <w:i w:val="false"/>
          <w:caps w:val="false"/>
          <w:smallCaps w:val="false"/>
          <w:sz w:val="20"/>
        </w:rPr>
        <w:t>13.</w:t>
      </w:r>
      <w:r>
        <w:rPr>
          <w:rFonts w:ascii="Times New Roman;Times;serif" w:hAnsi="Times New Roman;Times;serif"/>
          <w:b/>
          <w:sz w:val="20"/>
        </w:rPr>
        <w:t>Other current assets</w:t>
      </w:r>
    </w:p>
    <w:p>
      <w:pPr>
        <w:pStyle w:val="TextBody"/>
        <w:bidi w:val="0"/>
        <w:spacing w:before="0" w:after="0"/>
        <w:ind w:left="0" w:right="0" w:hanging="0"/>
        <w:jc w:val="left"/>
        <w:rPr/>
      </w:pPr>
      <w:r>
        <w:rPr/>
        <w:t>​</w:t>
      </w:r>
    </w:p>
    <w:tbl>
      <w:tblPr>
        <w:tblW w:w="4880" w:type="dxa"/>
        <w:jc w:val="left"/>
        <w:tblInd w:w="0" w:type="dxa"/>
        <w:tblLayout w:type="fixed"/>
        <w:tblCellMar>
          <w:top w:w="0" w:type="dxa"/>
          <w:left w:w="0" w:type="dxa"/>
          <w:bottom w:w="0" w:type="dxa"/>
          <w:right w:w="0" w:type="dxa"/>
        </w:tblCellMar>
      </w:tblPr>
      <w:tblGrid>
        <w:gridCol w:w="2281"/>
        <w:gridCol w:w="346"/>
        <w:gridCol w:w="721"/>
        <w:gridCol w:w="346"/>
        <w:gridCol w:w="1186"/>
      </w:tblGrid>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22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8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2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charges</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663</w:t>
            </w:r>
          </w:p>
        </w:tc>
      </w:tr>
      <w:tr>
        <w:trPr/>
        <w:tc>
          <w:tcPr>
            <w:tcW w:w="22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income</w:t>
            </w:r>
          </w:p>
        </w:tc>
        <w:tc>
          <w:tcPr>
            <w:tcW w:w="34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w:t>
            </w:r>
          </w:p>
        </w:tc>
      </w:tr>
      <w:tr>
        <w:trPr/>
        <w:tc>
          <w:tcPr>
            <w:tcW w:w="22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current assets</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803</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828</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37" w:name="Tc_FW9DeKySC0OMAyV_9hgD7w_5_0"/>
      <w:bookmarkStart w:id="938" w:name="Tc_SNc3CzR0dEyY_xKHG4RU-Q_4_0"/>
      <w:bookmarkStart w:id="939" w:name="Tc_ayykDa_p00Om3WHdaSVPBQ_3_0"/>
      <w:bookmarkStart w:id="940" w:name="Tc_TIIn8MacgEOeAthw9M8q7Q_2_4"/>
      <w:bookmarkStart w:id="941" w:name="Tc_6Og8C86ULkSwifZOa5THXQ_2_2"/>
      <w:bookmarkStart w:id="942" w:name="Tc_Uw6A1NQ_9EuWRsapWCMA8g_2_0"/>
      <w:bookmarkStart w:id="943" w:name="Tc_sI4LR7Wv406s5DfnZlfIcw_1_4"/>
      <w:bookmarkStart w:id="944" w:name="Tc_LIzRisgIm0aPMbe8jtwSvA_1_2"/>
      <w:bookmarkStart w:id="945" w:name="Tc_cDCsPJCOPki9YeSGcYtTfA_0_2"/>
      <w:bookmarkStart w:id="946" w:name="Cashandcashequivalents_23976"/>
      <w:bookmarkStart w:id="947" w:name="a14Financialassets_946175"/>
      <w:bookmarkEnd w:id="937"/>
      <w:bookmarkEnd w:id="938"/>
      <w:bookmarkEnd w:id="939"/>
      <w:bookmarkEnd w:id="940"/>
      <w:bookmarkEnd w:id="941"/>
      <w:bookmarkEnd w:id="942"/>
      <w:bookmarkEnd w:id="943"/>
      <w:bookmarkEnd w:id="944"/>
      <w:bookmarkEnd w:id="945"/>
      <w:bookmarkEnd w:id="946"/>
      <w:bookmarkEnd w:id="947"/>
      <w:r>
        <w:rPr>
          <w:rFonts w:ascii="Times New Roman;Times;serif" w:hAnsi="Times New Roman;Times;serif"/>
          <w:b/>
          <w:i w:val="false"/>
          <w:caps w:val="false"/>
          <w:smallCaps w:val="false"/>
          <w:sz w:val="20"/>
        </w:rPr>
        <w:t>14.</w:t>
      </w:r>
      <w:r>
        <w:rPr>
          <w:rFonts w:ascii="Times New Roman;Times;serif" w:hAnsi="Times New Roman;Times;serif"/>
          <w:b/>
          <w:sz w:val="20"/>
        </w:rPr>
        <w:t>Cash and cash equivalents</w:t>
      </w:r>
    </w:p>
    <w:p>
      <w:pPr>
        <w:pStyle w:val="TextBody"/>
        <w:bidi w:val="0"/>
        <w:spacing w:before="0" w:after="0"/>
        <w:ind w:left="0" w:right="0" w:hanging="0"/>
        <w:jc w:val="left"/>
        <w:rPr/>
      </w:pPr>
      <w:r>
        <w:rPr/>
        <w:t>​</w:t>
      </w:r>
    </w:p>
    <w:tbl>
      <w:tblPr>
        <w:tblW w:w="5345" w:type="dxa"/>
        <w:jc w:val="left"/>
        <w:tblInd w:w="0" w:type="dxa"/>
        <w:tblLayout w:type="fixed"/>
        <w:tblCellMar>
          <w:top w:w="0" w:type="dxa"/>
          <w:left w:w="0" w:type="dxa"/>
          <w:bottom w:w="0" w:type="dxa"/>
          <w:right w:w="0" w:type="dxa"/>
        </w:tblCellMar>
      </w:tblPr>
      <w:tblGrid>
        <w:gridCol w:w="2791"/>
        <w:gridCol w:w="346"/>
        <w:gridCol w:w="721"/>
        <w:gridCol w:w="346"/>
        <w:gridCol w:w="1141"/>
      </w:tblGrid>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220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279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center"/>
              <w:rPr/>
            </w:pPr>
            <w:r>
              <w:rPr/>
              <w:t>  ​ ​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79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1"/>
              <w:ind w:left="0" w:right="0" w:hanging="0"/>
              <w:jc w:val="center"/>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9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 term deposit</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10,553</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22,131</w:t>
            </w:r>
          </w:p>
        </w:tc>
      </w:tr>
      <w:tr>
        <w:trPr/>
        <w:tc>
          <w:tcPr>
            <w:tcW w:w="279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accounts</w:t>
            </w:r>
          </w:p>
        </w:tc>
        <w:tc>
          <w:tcPr>
            <w:tcW w:w="346" w:type="dxa"/>
            <w:tcBorders/>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53,562</w:t>
            </w:r>
          </w:p>
        </w:tc>
        <w:tc>
          <w:tcPr>
            <w:tcW w:w="34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7,870</w:t>
            </w:r>
          </w:p>
        </w:tc>
      </w:tr>
      <w:tr>
        <w:trPr/>
        <w:tc>
          <w:tcPr>
            <w:tcW w:w="279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cash and cash equivalents</w:t>
            </w:r>
          </w:p>
        </w:tc>
        <w:tc>
          <w:tcPr>
            <w:tcW w:w="346"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64,115</w:t>
            </w:r>
          </w:p>
        </w:tc>
        <w:tc>
          <w:tcPr>
            <w:tcW w:w="34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30,001</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and cash equivalents increased to €64.1 million as at June 30, 2026, compared to €30.0 million as at December 31, 2025 which is mainly due to an increase of current accounts by €45.7 million which is partially offset by a decrease of short term deposits by €11.6 million. The short term deposits relate to term accounts with an initial maturity of 3 months or less, measured at amortized costs.</w:t>
      </w:r>
    </w:p>
    <w:p>
      <w:pPr>
        <w:pStyle w:val="TextBody"/>
        <w:bidi w:val="0"/>
        <w:spacing w:before="0" w:after="240"/>
        <w:ind w:left="0" w:right="0" w:hanging="0"/>
        <w:jc w:val="left"/>
        <w:rPr>
          <w:rFonts w:ascii="Times New Roman;Times;serif" w:hAnsi="Times New Roman;Times;serif"/>
          <w:b/>
          <w:sz w:val="20"/>
        </w:rPr>
      </w:pPr>
      <w:bookmarkStart w:id="948" w:name="a15Financialassets_574062"/>
      <w:bookmarkEnd w:id="948"/>
      <w:r>
        <w:rPr>
          <w:rFonts w:ascii="Times New Roman;Times;serif" w:hAnsi="Times New Roman;Times;serif"/>
          <w:b/>
          <w:i w:val="false"/>
          <w:caps w:val="false"/>
          <w:smallCaps w:val="false"/>
          <w:sz w:val="20"/>
        </w:rPr>
        <w:t>15.</w:t>
      </w:r>
      <w:r>
        <w:rPr>
          <w:rFonts w:ascii="Times New Roman;Times;serif" w:hAnsi="Times New Roman;Times;serif"/>
          <w:b/>
          <w:sz w:val="20"/>
        </w:rPr>
        <w:t>Financial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Current financial assets relate to term accounts with an initial maturity longer than 3 months but less than 12 months measured at amortized costs.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per June 30, 2026 the current financial assets consists of $24.6 million term accounts (€21.7 million) which could generate a foreign currency exchange gain or loss in the financial results in accordance with the fluctuations of the USD/EUR exchange rate as the Company’s functional currency is EUR, and €12.0 million. The total amount of term deposits as at June 30, 2026 amounts to €33.7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period ended June 30, 2026, the Company entered into USD Deposits and US treasury bills for a total amount of $24.6 million (€21.5 million) and €12.0 million. During the period ended as at June 30, 2026, €18.0 million reached maturity and is subsequently held as cash.</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at December 31, 2025 the current financial assets amounts €18.0 million and consists of EUR current financial assets.</w:t>
      </w:r>
    </w:p>
    <w:p>
      <w:pPr>
        <w:pStyle w:val="TextBody"/>
        <w:bidi w:val="0"/>
        <w:spacing w:before="0" w:after="240"/>
        <w:ind w:left="0" w:right="0" w:hanging="0"/>
        <w:jc w:val="left"/>
        <w:rPr>
          <w:rFonts w:ascii="Times New Roman;Times;serif" w:hAnsi="Times New Roman;Times;serif"/>
          <w:b/>
          <w:sz w:val="20"/>
        </w:rPr>
      </w:pPr>
      <w:bookmarkStart w:id="949" w:name="a16ShareCapitalSharePremiumReserves_1286"/>
      <w:bookmarkEnd w:id="949"/>
      <w:r>
        <w:rPr>
          <w:rFonts w:ascii="Times New Roman;Times;serif" w:hAnsi="Times New Roman;Times;serif"/>
          <w:b/>
          <w:i w:val="false"/>
          <w:caps w:val="false"/>
          <w:smallCaps w:val="false"/>
          <w:sz w:val="20"/>
        </w:rPr>
        <w:t>16.</w:t>
      </w:r>
      <w:r>
        <w:rPr>
          <w:rFonts w:ascii="Times New Roman;Times;serif" w:hAnsi="Times New Roman;Times;serif"/>
          <w:b/>
          <w:sz w:val="20"/>
        </w:rPr>
        <w:t>Share Capital, Share Premium, Reserves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16.1.   Share capital and share premium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number of shares and the par value in the paragraph below take into account resolutions adopted by the shareholders’ meeting of February 21, 2020. All existing preferred shares were converted into common shares, and then a share split of 500:1 was approved by the shareholders’ meeting. The tables and comments below reflect the number of shares after the share split of 500:1 as of January 1, 2020.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IPO on September 21, 2020, the Company incurred direct-attributable transaction costs of €6.5 million which have been deducted from the share premium.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the IPO on July 7, 2021, the Company incurred direct-attributable transaction costs of €7.6 million which have been deducted from the share premium.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at June 30, 2026, the share capital of the Company amounts to €7.1 million represented by 100,072,815 shares, and the share premium amounts to €440.1 million before deduction of the transaction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50" w:name="Tc_WPGFMJcSX0CTmerqQuqWBA_18_6"/>
      <w:bookmarkStart w:id="951" w:name="Tc_mo8mY9z3hE6n_cdht4gEWQ_18_0"/>
      <w:bookmarkStart w:id="952" w:name="Tc_7Q2T-4N9EEqa8FBXmYuMgw_17_0"/>
      <w:bookmarkStart w:id="953" w:name="Tc_uMltx9CdZ0CAFqXNl0HAhA_16_0"/>
      <w:bookmarkStart w:id="954" w:name="Tc_DiqCnxYpgEyiNS9ZsCZ7sQ_15_0"/>
      <w:bookmarkStart w:id="955" w:name="Tc_V3ZWLDVpcEmlUT45NZ2W0g_14_0"/>
      <w:bookmarkStart w:id="956" w:name="Tc_yZVw-WjuTkCE5PkUIde9zw_13_0"/>
      <w:bookmarkStart w:id="957" w:name="Tc_ZZCsFZSMGUWTz_cX0Y-Vag_12_6"/>
      <w:bookmarkStart w:id="958" w:name="Tc_vA3N-EZdS0SQ4lf3at8hIQ_12_0"/>
      <w:bookmarkStart w:id="959" w:name="Tc_WUqd6RmTQE6D6ppnQ93vsA_11_0"/>
      <w:bookmarkStart w:id="960" w:name="Tc_l3ugS6hUi0qfwwzMt7IWIQ_10_0"/>
      <w:bookmarkStart w:id="961" w:name="Tc_O0aFaSpeHEWfZT9MTIKJoA_9_10"/>
      <w:bookmarkStart w:id="962" w:name="Tc_ZXWRWW0VfE2Hhb9cZ-3aCg_9_0"/>
      <w:bookmarkStart w:id="963" w:name="Tc_AvNuhWfjkEC6TFlkOUo9iQ_8_0"/>
      <w:bookmarkStart w:id="964" w:name="Tc_JBhjbsHzeUKFnJnCnCDucA_7_6"/>
      <w:bookmarkStart w:id="965" w:name="Tc_lKLe13gryUGOmAZq-ajqmg_7_0"/>
      <w:bookmarkStart w:id="966" w:name="Tc_ubWw3dOWDkWLVy1BEf_EGQ_6_0"/>
      <w:bookmarkStart w:id="967" w:name="Tc_sKorYznZekaTMy6O6B0vRQ_5_8"/>
      <w:bookmarkStart w:id="968" w:name="Tc_czLadf30aU-lMj2rTyyRLA_5_0"/>
      <w:bookmarkStart w:id="969" w:name="Tc_BOkI7MoAek6vuBNdrbO62g_4_6"/>
      <w:bookmarkStart w:id="970" w:name="Tc_r6edz-AOIkmT81uYZ7xHXA_4_0"/>
      <w:bookmarkStart w:id="971" w:name="Tc_FkzVtuNXJUmULuFcvjiDVA_3_10"/>
      <w:bookmarkStart w:id="972" w:name="Tc_ylAYGK3h4k-6UL8TXyVn0g_3_8"/>
      <w:bookmarkStart w:id="973" w:name="Tc_qsqemXzvQ0Wyogg7GB5mUw_3_6"/>
      <w:bookmarkStart w:id="974" w:name="Tc_DLyDMx51_UGNiBkYrvfBeA_3_4"/>
      <w:bookmarkStart w:id="975" w:name="Tc_DT4hnV7pn0OALMQ2vCx7QQ_3_2"/>
      <w:bookmarkStart w:id="976" w:name="Tc_TN6hokJAf0OE-8n32RKhnA_3_0"/>
      <w:bookmarkStart w:id="977" w:name="Tc_PRE-AaUkk06HIKL5H6_UTw_2_10"/>
      <w:bookmarkStart w:id="978" w:name="Tc_UGk1QDa4H0KXfaUt71A18g_2_8"/>
      <w:bookmarkStart w:id="979" w:name="Tc_3me1CqDiyEOlOGtUPc3ivQ_2_6"/>
      <w:bookmarkStart w:id="980" w:name="Tc_8aWWeVMtgk2-var0gixaww_2_4"/>
      <w:bookmarkStart w:id="981" w:name="Tc_1KtymnYRg0qR-Q4xXBlvwA_2_2"/>
      <w:bookmarkStart w:id="982" w:name="Tc_wz0TB5TV6keJoqsse8RKhQ_1_10"/>
      <w:bookmarkStart w:id="983" w:name="Tc_8Ai_DbrQZ0-jd45NvJKUDw_1_8"/>
      <w:bookmarkStart w:id="984" w:name="Tc_VAuLjJX1lU-lWdZDO9e5Dw_1_6"/>
      <w:bookmarkStart w:id="985" w:name="_dd519d45_de7a_4f7f_800f_2d51945431ed"/>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r>
        <w:rPr>
          <w:rFonts w:ascii="Times New Roman;Times;serif" w:hAnsi="Times New Roman;Times;serif"/>
          <w:sz w:val="20"/>
        </w:rPr>
        <w:t>Evolution of the share capital and share premium over the six months ended June 30, 2026 and 2025:</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712"/>
        <w:gridCol w:w="346"/>
        <w:gridCol w:w="1141"/>
        <w:gridCol w:w="346"/>
        <w:gridCol w:w="1141"/>
        <w:gridCol w:w="346"/>
        <w:gridCol w:w="764"/>
        <w:gridCol w:w="346"/>
        <w:gridCol w:w="738"/>
        <w:gridCol w:w="346"/>
        <w:gridCol w:w="979"/>
      </w:tblGrid>
      <w:tr>
        <w:trPr/>
        <w:tc>
          <w:tcPr>
            <w:tcW w:w="37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357120" cy="175260"/>
                      <wp:effectExtent l="0" t="0" r="0" b="0"/>
                      <wp:wrapNone/>
                      <wp:docPr id="155" name="Frame148"/>
                      <a:graphic xmlns:a="http://schemas.openxmlformats.org/drawingml/2006/main">
                        <a:graphicData uri="http://schemas.microsoft.com/office/word/2010/wordprocessingShape">
                          <wps:wsp>
                            <wps:cNvSpPr txBox="1"/>
                            <wps:spPr>
                              <a:xfrm>
                                <a:off x="0" y="0"/>
                                <a:ext cx="23571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19710" cy="175260"/>
                      <wp:effectExtent l="0" t="0" r="0" b="0"/>
                      <wp:wrapNone/>
                      <wp:docPr id="156" name="Frame1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724535" cy="175260"/>
                      <wp:effectExtent l="0" t="0" r="0" b="0"/>
                      <wp:wrapNone/>
                      <wp:docPr id="157" name="Frame15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19710" cy="175260"/>
                      <wp:effectExtent l="0" t="0" r="0" b="0"/>
                      <wp:wrapNone/>
                      <wp:docPr id="158"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724535" cy="175260"/>
                      <wp:effectExtent l="0" t="0" r="0" b="0"/>
                      <wp:wrapNone/>
                      <wp:docPr id="159" name="Frame15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60" name="Frame1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485140" cy="175260"/>
                      <wp:effectExtent l="0" t="0" r="0" b="0"/>
                      <wp:wrapNone/>
                      <wp:docPr id="161" name="Frame154"/>
                      <a:graphic xmlns:a="http://schemas.openxmlformats.org/drawingml/2006/main">
                        <a:graphicData uri="http://schemas.microsoft.com/office/word/2010/wordprocessingShape">
                          <wps:wsp>
                            <wps:cNvSpPr txBox="1"/>
                            <wps:spPr>
                              <a:xfrm>
                                <a:off x="0" y="0"/>
                                <a:ext cx="4851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19710" cy="175260"/>
                      <wp:effectExtent l="0" t="0" r="0" b="0"/>
                      <wp:wrapNone/>
                      <wp:docPr id="162" name="Frame1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68630" cy="175260"/>
                      <wp:effectExtent l="0" t="0" r="0" b="0"/>
                      <wp:wrapNone/>
                      <wp:docPr id="163" name="Frame156"/>
                      <a:graphic xmlns:a="http://schemas.openxmlformats.org/drawingml/2006/main">
                        <a:graphicData uri="http://schemas.microsoft.com/office/word/2010/wordprocessingShape">
                          <wps:wsp>
                            <wps:cNvSpPr txBox="1"/>
                            <wps:spPr>
                              <a:xfrm>
                                <a:off x="0" y="0"/>
                                <a:ext cx="468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9710" cy="175260"/>
                      <wp:effectExtent l="0" t="0" r="0" b="0"/>
                      <wp:wrapNone/>
                      <wp:docPr id="164"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21665" cy="175260"/>
                      <wp:effectExtent l="0" t="0" r="0" b="0"/>
                      <wp:wrapNone/>
                      <wp:docPr id="165" name="Frame158"/>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6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left"/>
              <w:rPr/>
            </w:pPr>
            <w:r>
              <w:rPr/>
              <w:t>  ​ ​ ​</w:t>
            </w:r>
          </w:p>
        </w:tc>
        <w:tc>
          <w:tcPr>
            <w:tcW w:w="7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 </w:t>
            </w:r>
          </w:p>
        </w:tc>
        <w:tc>
          <w:tcPr>
            <w:tcW w:w="346" w:type="dxa"/>
            <w:tcBorders/>
            <w:vAlign w:val="center"/>
          </w:tcPr>
          <w:p>
            <w:pPr>
              <w:pStyle w:val="TableContents"/>
              <w:bidi w:val="0"/>
              <w:spacing w:before="0" w:after="0"/>
              <w:ind w:left="0" w:right="0" w:hanging="0"/>
              <w:jc w:val="left"/>
              <w:rPr/>
            </w:pPr>
            <w:r>
              <w:rPr/>
              <w:t>  ​ ​ ​</w:t>
            </w:r>
          </w:p>
        </w:tc>
        <w:tc>
          <w:tcPr>
            <w:tcW w:w="97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r>
      <w:tr>
        <w:trPr/>
        <w:tc>
          <w:tcPr>
            <w:tcW w:w="371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of </w:t>
            </w:r>
          </w:p>
        </w:tc>
        <w:tc>
          <w:tcPr>
            <w:tcW w:w="34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 per</w:t>
            </w:r>
          </w:p>
        </w:tc>
        <w:tc>
          <w:tcPr>
            <w:tcW w:w="346"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 (in</w:t>
            </w:r>
          </w:p>
        </w:tc>
        <w:tc>
          <w:tcPr>
            <w:tcW w:w="34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premium (in</w:t>
            </w:r>
          </w:p>
        </w:tc>
      </w:tr>
      <w:tr>
        <w:trPr/>
        <w:tc>
          <w:tcPr>
            <w:tcW w:w="3712"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(Number of shares except otherwise stated)</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w:t>
            </w:r>
          </w:p>
        </w:tc>
        <w:tc>
          <w:tcPr>
            <w:tcW w:w="76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w:t>
            </w:r>
          </w:p>
        </w:tc>
        <w:tc>
          <w:tcPr>
            <w:tcW w:w="346" w:type="dxa"/>
            <w:tcBorders/>
            <w:vAlign w:val="center"/>
          </w:tcPr>
          <w:p>
            <w:pPr>
              <w:pStyle w:val="TableContents"/>
              <w:bidi w:val="0"/>
              <w:spacing w:before="0" w:after="0"/>
              <w:ind w:left="0" w:right="0" w:hanging="0"/>
              <w:jc w:val="left"/>
              <w:rPr/>
            </w:pPr>
            <w:r>
              <w:rPr/>
              <w:t>​</w:t>
            </w:r>
          </w:p>
        </w:tc>
        <w:tc>
          <w:tcPr>
            <w:tcW w:w="7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EUR 000)</w:t>
            </w:r>
          </w:p>
        </w:tc>
        <w:tc>
          <w:tcPr>
            <w:tcW w:w="346" w:type="dxa"/>
            <w:tcBorders/>
            <w:vAlign w:val="center"/>
          </w:tcPr>
          <w:p>
            <w:pPr>
              <w:pStyle w:val="TableContents"/>
              <w:bidi w:val="0"/>
              <w:spacing w:before="0" w:after="0"/>
              <w:ind w:left="0" w:right="0" w:hanging="0"/>
              <w:jc w:val="left"/>
              <w:rPr/>
            </w:pPr>
            <w:r>
              <w:rPr/>
              <w:t>​</w:t>
            </w:r>
          </w:p>
        </w:tc>
        <w:tc>
          <w:tcPr>
            <w:tcW w:w="97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EUR 000)</w:t>
            </w:r>
          </w:p>
        </w:tc>
      </w:tr>
      <w:tr>
        <w:trPr/>
        <w:tc>
          <w:tcPr>
            <w:tcW w:w="371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37,427,265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37,427,265</w:t>
            </w:r>
          </w:p>
        </w:tc>
        <w:tc>
          <w:tcPr>
            <w:tcW w:w="346" w:type="dxa"/>
            <w:tcBorders/>
            <w:shd w:fill="CCEEFF" w:val="clear"/>
            <w:vAlign w:val="center"/>
          </w:tcPr>
          <w:p>
            <w:pPr>
              <w:pStyle w:val="TableContents"/>
              <w:bidi w:val="0"/>
              <w:spacing w:before="0" w:after="0"/>
              <w:ind w:left="0" w:right="0" w:hanging="0"/>
              <w:jc w:val="left"/>
              <w:rPr/>
            </w:pPr>
            <w:r>
              <w:rPr/>
              <w:t> </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6,430</w:t>
            </w:r>
          </w:p>
        </w:tc>
        <w:tc>
          <w:tcPr>
            <w:tcW w:w="346" w:type="dxa"/>
            <w:tcBorders/>
            <w:shd w:fill="CCEEFF" w:val="clear"/>
            <w:vAlign w:val="center"/>
          </w:tcPr>
          <w:p>
            <w:pPr>
              <w:pStyle w:val="TableContents"/>
              <w:bidi w:val="0"/>
              <w:spacing w:before="0" w:after="0"/>
              <w:ind w:left="0" w:right="0" w:hanging="0"/>
              <w:jc w:val="left"/>
              <w:rPr/>
            </w:pPr>
            <w:r>
              <w:rPr/>
              <w:t> </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332,579</w:t>
            </w:r>
          </w:p>
        </w:tc>
      </w:tr>
      <w:tr>
        <w:trPr/>
        <w:tc>
          <w:tcPr>
            <w:tcW w:w="37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12, 2025 - Exercise warrants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c>
          <w:tcPr>
            <w:tcW w:w="34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46"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37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13, 2025 - Exercise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6,375</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6,375</w:t>
            </w:r>
          </w:p>
        </w:tc>
        <w:tc>
          <w:tcPr>
            <w:tcW w:w="34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46"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3712"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2025</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37,435,640</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37,435,640</w:t>
            </w:r>
          </w:p>
        </w:tc>
        <w:tc>
          <w:tcPr>
            <w:tcW w:w="346" w:type="dxa"/>
            <w:tcBorders/>
            <w:vAlign w:val="center"/>
          </w:tcPr>
          <w:p>
            <w:pPr>
              <w:pStyle w:val="TableContents"/>
              <w:bidi w:val="0"/>
              <w:spacing w:before="0" w:after="0"/>
              <w:ind w:left="0" w:right="0" w:hanging="0"/>
              <w:jc w:val="left"/>
              <w:rPr/>
            </w:pPr>
            <w:r>
              <w:rPr/>
              <w:t> </w:t>
            </w:r>
          </w:p>
        </w:tc>
        <w:tc>
          <w:tcPr>
            <w:tcW w:w="764"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3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6,431</w:t>
            </w:r>
          </w:p>
        </w:tc>
        <w:tc>
          <w:tcPr>
            <w:tcW w:w="346" w:type="dxa"/>
            <w:tcBorders/>
            <w:vAlign w:val="center"/>
          </w:tcPr>
          <w:p>
            <w:pPr>
              <w:pStyle w:val="TableContents"/>
              <w:bidi w:val="0"/>
              <w:spacing w:before="0" w:after="0"/>
              <w:ind w:left="0" w:right="0" w:hanging="0"/>
              <w:jc w:val="left"/>
              <w:rPr/>
            </w:pPr>
            <w:r>
              <w:rPr/>
              <w:t> </w:t>
            </w:r>
          </w:p>
        </w:tc>
        <w:tc>
          <w:tcPr>
            <w:tcW w:w="97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332,622</w:t>
            </w:r>
          </w:p>
        </w:tc>
      </w:tr>
      <w:tr>
        <w:trPr/>
        <w:tc>
          <w:tcPr>
            <w:tcW w:w="37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8, 2025 - Exercise warrants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w:t>
            </w:r>
          </w:p>
        </w:tc>
        <w:tc>
          <w:tcPr>
            <w:tcW w:w="346" w:type="dxa"/>
            <w:tcBorders/>
            <w:shd w:fill="CCEEFF" w:val="clear"/>
            <w:vAlign w:val="center"/>
          </w:tcPr>
          <w:p>
            <w:pPr>
              <w:pStyle w:val="TableContents"/>
              <w:bidi w:val="0"/>
              <w:spacing w:before="0" w:after="0"/>
              <w:ind w:left="0" w:right="0" w:hanging="0"/>
              <w:jc w:val="left"/>
              <w:rPr/>
            </w:pPr>
            <w:r>
              <w:rPr/>
              <w:t> </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46" w:type="dxa"/>
            <w:tcBorders/>
            <w:shd w:fill="CCEEFF" w:val="clear"/>
            <w:vAlign w:val="center"/>
          </w:tcPr>
          <w:p>
            <w:pPr>
              <w:pStyle w:val="TableContents"/>
              <w:bidi w:val="0"/>
              <w:spacing w:before="0" w:after="0"/>
              <w:ind w:left="0" w:right="0" w:hanging="0"/>
              <w:jc w:val="left"/>
              <w:rPr/>
            </w:pPr>
            <w:r>
              <w:rPr/>
              <w:t> </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0"/>
              <w:ind w:left="0" w:right="0" w:hanging="0"/>
              <w:jc w:val="lef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7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26, 2025 - Exercise RSU warrants</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103,642</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103,642</w:t>
            </w:r>
          </w:p>
        </w:tc>
        <w:tc>
          <w:tcPr>
            <w:tcW w:w="346" w:type="dxa"/>
            <w:tcBorders/>
            <w:vAlign w:val="center"/>
          </w:tcPr>
          <w:p>
            <w:pPr>
              <w:pStyle w:val="TableContents"/>
              <w:bidi w:val="0"/>
              <w:spacing w:before="0" w:after="0"/>
              <w:ind w:left="0" w:right="0" w:hanging="0"/>
              <w:jc w:val="left"/>
              <w:rPr/>
            </w:pPr>
            <w:r>
              <w:rPr/>
              <w:t> </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0.17</w:t>
            </w:r>
          </w:p>
        </w:tc>
        <w:tc>
          <w:tcPr>
            <w:tcW w:w="346" w:type="dxa"/>
            <w:tcBorders/>
            <w:vAlign w:val="center"/>
          </w:tcPr>
          <w:p>
            <w:pPr>
              <w:pStyle w:val="TableContents"/>
              <w:bidi w:val="0"/>
              <w:spacing w:before="0" w:after="0"/>
              <w:ind w:left="0" w:right="0" w:hanging="0"/>
              <w:jc w:val="left"/>
              <w:rPr/>
            </w:pPr>
            <w:r>
              <w:rPr/>
              <w:t> </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46" w:type="dxa"/>
            <w:tcBorders/>
            <w:vAlign w:val="center"/>
          </w:tcPr>
          <w:p>
            <w:pPr>
              <w:pStyle w:val="TableContents"/>
              <w:bidi w:val="0"/>
              <w:spacing w:before="0" w:after="0"/>
              <w:ind w:left="0" w:right="0" w:hanging="0"/>
              <w:jc w:val="left"/>
              <w:rPr/>
            </w:pPr>
            <w:r>
              <w:rPr/>
              <w:t> </w:t>
            </w:r>
          </w:p>
        </w:tc>
        <w:tc>
          <w:tcPr>
            <w:tcW w:w="979" w:type="dxa"/>
            <w:tcBorders/>
            <w:vAlign w:val="center"/>
          </w:tcPr>
          <w:p>
            <w:pPr>
              <w:pStyle w:val="TableContents"/>
              <w:bidi w:val="0"/>
              <w:spacing w:before="0" w:after="0"/>
              <w:ind w:left="0" w:right="0" w:hanging="0"/>
              <w:jc w:val="right"/>
              <w:rPr/>
            </w:pPr>
            <w:r>
              <w:rPr/>
              <w:t>—</w:t>
            </w:r>
          </w:p>
        </w:tc>
      </w:tr>
      <w:tr>
        <w:trPr/>
        <w:tc>
          <w:tcPr>
            <w:tcW w:w="37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18, 2025 - Capital increase in cash</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5,189,428</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5,189,428</w:t>
            </w:r>
          </w:p>
        </w:tc>
        <w:tc>
          <w:tcPr>
            <w:tcW w:w="34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20,706</w:t>
            </w:r>
          </w:p>
        </w:tc>
      </w:tr>
      <w:tr>
        <w:trPr/>
        <w:tc>
          <w:tcPr>
            <w:tcW w:w="37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Novermber 20, 2025 - Capital increase in cash</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292,250</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292,250</w:t>
            </w:r>
          </w:p>
        </w:tc>
        <w:tc>
          <w:tcPr>
            <w:tcW w:w="34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1,166</w:t>
            </w:r>
          </w:p>
        </w:tc>
      </w:tr>
      <w:tr>
        <w:trPr/>
        <w:tc>
          <w:tcPr>
            <w:tcW w:w="371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December 31, 2025</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43,026,460</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43,026,460</w:t>
            </w:r>
          </w:p>
        </w:tc>
        <w:tc>
          <w:tcPr>
            <w:tcW w:w="346" w:type="dxa"/>
            <w:tcBorders/>
            <w:shd w:fill="CCEEFF" w:val="clear"/>
            <w:vAlign w:val="center"/>
          </w:tcPr>
          <w:p>
            <w:pPr>
              <w:pStyle w:val="TableContents"/>
              <w:bidi w:val="0"/>
              <w:spacing w:before="0" w:after="0"/>
              <w:ind w:left="0" w:right="0" w:hanging="0"/>
              <w:jc w:val="left"/>
              <w:rPr/>
            </w:pPr>
            <w:r>
              <w:rPr/>
              <w:t>​</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6,505</w:t>
            </w:r>
          </w:p>
        </w:tc>
        <w:tc>
          <w:tcPr>
            <w:tcW w:w="346" w:type="dxa"/>
            <w:tcBorders/>
            <w:shd w:fill="CCEEFF" w:val="clear"/>
            <w:vAlign w:val="center"/>
          </w:tcPr>
          <w:p>
            <w:pPr>
              <w:pStyle w:val="TableContents"/>
              <w:bidi w:val="0"/>
              <w:spacing w:before="0" w:after="0"/>
              <w:ind w:left="0" w:right="0" w:hanging="0"/>
              <w:jc w:val="left"/>
              <w:rPr/>
            </w:pPr>
            <w:r>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354,523</w:t>
            </w:r>
          </w:p>
        </w:tc>
      </w:tr>
      <w:tr>
        <w:trPr/>
        <w:tc>
          <w:tcPr>
            <w:tcW w:w="37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2, 2026 - Issuance of shares on conversion of convertible debt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635,943</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635,943</w:t>
            </w:r>
          </w:p>
        </w:tc>
        <w:tc>
          <w:tcPr>
            <w:tcW w:w="34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2,153</w:t>
            </w:r>
          </w:p>
        </w:tc>
      </w:tr>
      <w:tr>
        <w:trPr/>
        <w:tc>
          <w:tcPr>
            <w:tcW w:w="37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20, 2026 - Issuance of shares on conversion of convertible debt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1,031,323</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1,031,323</w:t>
            </w:r>
          </w:p>
        </w:tc>
        <w:tc>
          <w:tcPr>
            <w:tcW w:w="34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2,236</w:t>
            </w:r>
          </w:p>
        </w:tc>
      </w:tr>
      <w:tr>
        <w:trPr/>
        <w:tc>
          <w:tcPr>
            <w:tcW w:w="37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9, 2026 - Capital increase in cash</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54,595,394</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54,595,394</w:t>
            </w:r>
          </w:p>
        </w:tc>
        <w:tc>
          <w:tcPr>
            <w:tcW w:w="34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w:t>
            </w:r>
          </w:p>
        </w:tc>
        <w:tc>
          <w:tcPr>
            <w:tcW w:w="34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80,180</w:t>
            </w:r>
          </w:p>
        </w:tc>
      </w:tr>
      <w:tr>
        <w:trPr/>
        <w:tc>
          <w:tcPr>
            <w:tcW w:w="371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10, 2026 - Capital increase in cash</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637,164</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637,164</w:t>
            </w:r>
          </w:p>
        </w:tc>
        <w:tc>
          <w:tcPr>
            <w:tcW w:w="346" w:type="dxa"/>
            <w:tcBorders/>
            <w:shd w:fill="CCEEFF" w:val="clear"/>
            <w:vAlign w:val="center"/>
          </w:tcPr>
          <w:p>
            <w:pPr>
              <w:pStyle w:val="TableContents"/>
              <w:bidi w:val="0"/>
              <w:spacing w:before="0" w:after="0"/>
              <w:ind w:left="0" w:right="0" w:hanging="0"/>
              <w:jc w:val="left"/>
              <w:rPr/>
            </w:pPr>
            <w:r>
              <w:rPr/>
              <w:t>​</w:t>
            </w:r>
          </w:p>
        </w:tc>
        <w:tc>
          <w:tcPr>
            <w:tcW w:w="76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w:t>
            </w:r>
          </w:p>
        </w:tc>
      </w:tr>
      <w:tr>
        <w:trPr/>
        <w:tc>
          <w:tcPr>
            <w:tcW w:w="371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30, 2026 - Exercise RSU warrants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146,531</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146,531</w:t>
            </w:r>
          </w:p>
        </w:tc>
        <w:tc>
          <w:tcPr>
            <w:tcW w:w="346" w:type="dxa"/>
            <w:tcBorders/>
            <w:vAlign w:val="center"/>
          </w:tcPr>
          <w:p>
            <w:pPr>
              <w:pStyle w:val="TableContents"/>
              <w:bidi w:val="0"/>
              <w:spacing w:before="0" w:after="0"/>
              <w:ind w:left="0" w:right="0" w:hanging="0"/>
              <w:jc w:val="left"/>
              <w:rPr/>
            </w:pPr>
            <w:r>
              <w:rPr/>
              <w:t>​</w:t>
            </w:r>
          </w:p>
        </w:tc>
        <w:tc>
          <w:tcPr>
            <w:tcW w:w="76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0.01</w:t>
            </w:r>
          </w:p>
        </w:tc>
        <w:tc>
          <w:tcPr>
            <w:tcW w:w="346" w:type="dxa"/>
            <w:tcBorders/>
            <w:vAlign w:val="center"/>
          </w:tcPr>
          <w:p>
            <w:pPr>
              <w:pStyle w:val="TableContents"/>
              <w:bidi w:val="0"/>
              <w:spacing w:before="0" w:after="0"/>
              <w:ind w:left="0" w:right="0" w:hanging="0"/>
              <w:jc w:val="left"/>
              <w:rPr/>
            </w:pPr>
            <w:r>
              <w:rPr/>
              <w:t>​</w:t>
            </w:r>
          </w:p>
        </w:tc>
        <w:tc>
          <w:tcPr>
            <w:tcW w:w="73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371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June 30, 2026</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100,072,815</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100,072,815</w:t>
            </w:r>
          </w:p>
        </w:tc>
        <w:tc>
          <w:tcPr>
            <w:tcW w:w="346" w:type="dxa"/>
            <w:tcBorders/>
            <w:shd w:fill="CCEEFF" w:val="clear"/>
            <w:vAlign w:val="center"/>
          </w:tcPr>
          <w:p>
            <w:pPr>
              <w:pStyle w:val="TableContents"/>
              <w:bidi w:val="0"/>
              <w:spacing w:before="0" w:after="0"/>
              <w:ind w:left="0" w:right="0" w:hanging="0"/>
              <w:jc w:val="left"/>
              <w:rPr/>
            </w:pPr>
            <w:r>
              <w:rPr/>
              <w:t>​</w:t>
            </w:r>
          </w:p>
        </w:tc>
        <w:tc>
          <w:tcPr>
            <w:tcW w:w="76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7,075</w:t>
            </w:r>
          </w:p>
        </w:tc>
        <w:tc>
          <w:tcPr>
            <w:tcW w:w="346" w:type="dxa"/>
            <w:tcBorders/>
            <w:shd w:fill="CCEEFF" w:val="clear"/>
            <w:vAlign w:val="center"/>
          </w:tcPr>
          <w:p>
            <w:pPr>
              <w:pStyle w:val="TableContents"/>
              <w:bidi w:val="0"/>
              <w:spacing w:before="0" w:after="0"/>
              <w:ind w:left="0" w:right="0" w:hanging="0"/>
              <w:jc w:val="left"/>
              <w:rPr/>
            </w:pPr>
            <w:r>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72" w:hanging="0"/>
              <w:jc w:val="right"/>
              <w:rPr>
                <w:rFonts w:ascii="Times New Roman;Times;serif" w:hAnsi="Times New Roman;Times;serif"/>
                <w:b/>
                <w:sz w:val="20"/>
              </w:rPr>
            </w:pPr>
            <w:r>
              <w:rPr>
                <w:rFonts w:ascii="Times New Roman;Times;serif" w:hAnsi="Times New Roman;Times;serif"/>
                <w:b/>
                <w:sz w:val="20"/>
              </w:rPr>
              <w:t>440,059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May 12, 2025, pursuant to the exercise of warrants, the Company issued 2,000 new shares for an aggregate capital increase of €10,000 (including share premium).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13, 2025, pursuant to the exercise of warrants, the Company issued 6,375 new shares for an aggregate capital increase of €34,000 (including share premium).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July 8, 2025, pursuant to the exercise of warrants, the Company issued 5,500 new shares for an aggregate capital increase of €30,000 (including share premium).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26, 2025, pursuant to the exercise of RSU warrants, the Company issued 103,642 new shares for an aggregate capital increase of €18,000 (no share premium).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November 18, 2025, the Company issued 5,189,428 new shares for an aggregate capital increase of €20.8 million (including share premium). All shares were subscribed to in EUR at a share price of €4 per share.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20, 2025, the Company issued 292,250 new shares for an aggregate capital increase of €1.2 million (including share premium). All shares were subscribed to in EUR at a share price of €4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above capital increases, the Company incurred direct-attributable transaction costs of €1.2 million which have been deducted from the share premium. The proceeds from the capital increase net of transaction costs amounted to €21.9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2, 2026, pursuant to the conversion of convertible debt, the Company issued 635,943 new shares for an aggregate capital increase of €2.2 million (including share premium).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May 20, 2026, pursuant to the conversion of convertible debt, the Company issued 1,031,323 new shares for an aggregate capital increase of €2.2 million (including share premium).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9, 2026, the Company issued 54,595,394 new shares for an aggregate capital increase of €80.7 million (including share premium). All shares were subscribed to in EUR at a share price of €1.48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10, 2026, the Company issued 637,164 new shares for an aggregate capital increase of €0.9 million (including share premium). All shares were subscribed to in EUR at a share price of €1.49 per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986" w:name="Tc_xvW-jCCsVEqQDGOtLTzaiA_11_0"/>
      <w:bookmarkStart w:id="987" w:name="Tc_t-QNJ_3wL0azZJKKy7LKvg_10_4"/>
      <w:bookmarkStart w:id="988" w:name="Tc_XTIr0mzmnU6utOxqtqIyVQ_10_0"/>
      <w:bookmarkStart w:id="989" w:name="Tc_jmSXxdJdMUqreEusaZSriA_9_0"/>
      <w:bookmarkStart w:id="990" w:name="Tc_BML_c8iKaUyfRVQWQvT5XA_8_0"/>
      <w:bookmarkStart w:id="991" w:name="Tc_m_NPbKNImkOxaGrKc36rSw_7_0"/>
      <w:bookmarkStart w:id="992" w:name="Tc_VzLPVBAJmESZp14rY7NQkA_6_4"/>
      <w:bookmarkStart w:id="993" w:name="Tc_SvUdsyefQ0Cr3z9RVxZAqw_6_0"/>
      <w:bookmarkStart w:id="994" w:name="Tc_1R62HgVqSE-TPxlr8ITU9w_5_0"/>
      <w:bookmarkStart w:id="995" w:name="Tc_JhNAwqoI5Ump9EK7oVNPyw_4_0"/>
      <w:bookmarkStart w:id="996" w:name="Tc_0CHtaPq0mkmSUJGsuRiXVw_3_6"/>
      <w:bookmarkStart w:id="997" w:name="Tc_RbZBb6DT2km8Ybbgrg2P-w_3_4"/>
      <w:bookmarkStart w:id="998" w:name="Tc_5kE1sB9B40GVoG7828Ixmw_3_2"/>
      <w:bookmarkStart w:id="999" w:name="Tc_AqCuwl1wPUSGqpxf-tH2Uw_3_0"/>
      <w:bookmarkStart w:id="1000" w:name="Tc_B1sf8xybWkOu-X5mmxyLBA_2_4"/>
      <w:bookmarkStart w:id="1001" w:name="Tc_xPs_ZxYfe0im3OZ6af2rVg_2_2"/>
      <w:bookmarkStart w:id="1002" w:name="Tc_iXXzbOvAAU-OK1j6mEa4mQ_1_4"/>
      <w:bookmarkStart w:id="1003" w:name="Tc_n_Kk4bC_Jk6eDIqtL9B90g_1_2"/>
      <w:bookmarkStart w:id="1004" w:name="Tc_ercQ36VRHkixJakPLFxy6w_0_4"/>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r>
        <w:rPr>
          <w:rFonts w:ascii="Times New Roman;Times;serif" w:hAnsi="Times New Roman;Times;serif"/>
          <w:sz w:val="20"/>
        </w:rPr>
        <w:t>On June 30, 2026, pursuant to the exercise of RSU warrants, the Company issued 146,531 new shares for an aggregate capital increase of €25,000 (including share premium).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part of above capital increase, the Company incurred direct-attributable transaction costs of €5.7 million which have been deducted from the share premium. The proceeds from the capital increase net of transaction costs amounted to €76.0 million.</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16.2.   Reserves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reserves include the share-based payment reserve (see note 17), other comprehensive income and the retained loss. Retained loss is comprised of primarily accumulated losses, other comprehensive income is comprised of currency translation reserves and remeasurements of post-employment benefit obligations.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movement in other comprehensive income for the six months ended June 30, 2026 and 2025 is detailed in the table below:</w:t>
      </w:r>
    </w:p>
    <w:p>
      <w:pPr>
        <w:pStyle w:val="TextBody"/>
        <w:bidi w:val="0"/>
        <w:spacing w:before="0" w:after="0"/>
        <w:ind w:left="0" w:right="0" w:hanging="0"/>
        <w:jc w:val="left"/>
        <w:rPr/>
      </w:pPr>
      <w:r>
        <w:rPr/>
        <w:t>​</w:t>
      </w:r>
    </w:p>
    <w:tbl>
      <w:tblPr>
        <w:tblW w:w="9637" w:type="dxa"/>
        <w:jc w:val="left"/>
        <w:tblInd w:w="0" w:type="dxa"/>
        <w:tblLayout w:type="fixed"/>
        <w:tblCellMar>
          <w:top w:w="0" w:type="dxa"/>
          <w:left w:w="0" w:type="dxa"/>
          <w:bottom w:w="0" w:type="dxa"/>
          <w:right w:w="0" w:type="dxa"/>
        </w:tblCellMar>
      </w:tblPr>
      <w:tblGrid>
        <w:gridCol w:w="6031"/>
        <w:gridCol w:w="346"/>
        <w:gridCol w:w="901"/>
        <w:gridCol w:w="346"/>
        <w:gridCol w:w="991"/>
        <w:gridCol w:w="346"/>
        <w:gridCol w:w="676"/>
      </w:tblGrid>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Post-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Currency</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employment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60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translation</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benefit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1"/>
              <w:ind w:left="0" w:right="0" w:hanging="0"/>
              <w:jc w:val="left"/>
              <w:rPr/>
            </w:pPr>
            <w:r>
              <w:rPr/>
              <w:t>  ​ ​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reserve</w:t>
            </w:r>
          </w:p>
        </w:tc>
        <w:tc>
          <w:tcPr>
            <w:tcW w:w="346" w:type="dxa"/>
            <w:tcBorders/>
            <w:vAlign w:val="center"/>
          </w:tcPr>
          <w:p>
            <w:pPr>
              <w:pStyle w:val="TableContents"/>
              <w:bidi w:val="0"/>
              <w:spacing w:before="0" w:after="1"/>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obligations</w:t>
            </w:r>
          </w:p>
        </w:tc>
        <w:tc>
          <w:tcPr>
            <w:tcW w:w="346" w:type="dxa"/>
            <w:tcBorders/>
            <w:vAlign w:val="center"/>
          </w:tcPr>
          <w:p>
            <w:pPr>
              <w:pStyle w:val="TableContents"/>
              <w:bidi w:val="0"/>
              <w:spacing w:before="0" w:after="1"/>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Opening value at January 1, 2025</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820</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914</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Items that may be subsequently reclassified to profit or loss (net of tax)</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 differences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comprehensive income at June 30, 2025</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1,050</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94</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1,144</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Opening value at January 1, 2026</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1,048</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1,124</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Items that may be subsequently reclassified to profit or loss (net of tax)</w:t>
            </w:r>
          </w:p>
        </w:tc>
        <w:tc>
          <w:tcPr>
            <w:tcW w:w="346"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r>
      <w:tr>
        <w:trPr/>
        <w:tc>
          <w:tcPr>
            <w:tcW w:w="60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Currency translation differences</w:t>
            </w:r>
          </w:p>
        </w:tc>
        <w:tc>
          <w:tcPr>
            <w:tcW w:w="346" w:type="dxa"/>
            <w:tcBorders/>
            <w:shd w:fill="CCEEFF" w:val="cle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603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other comprehensive income at June 30, 2026</w:t>
            </w:r>
          </w:p>
        </w:tc>
        <w:tc>
          <w:tcPr>
            <w:tcW w:w="346" w:type="dxa"/>
            <w:tcBorders/>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1,049</w:t>
            </w:r>
          </w:p>
        </w:tc>
        <w:tc>
          <w:tcPr>
            <w:tcW w:w="346" w:type="dxa"/>
            <w:tcBorders/>
            <w:vAlign w:val="center"/>
          </w:tcPr>
          <w:p>
            <w:pPr>
              <w:pStyle w:val="TableContents"/>
              <w:bidi w:val="0"/>
              <w:spacing w:before="0" w:after="1"/>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w:t>
            </w:r>
          </w:p>
        </w:tc>
        <w:tc>
          <w:tcPr>
            <w:tcW w:w="34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1,125</w:t>
            </w:r>
          </w:p>
        </w:tc>
      </w:tr>
    </w:tbl>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05" w:name="Tc_M5x4IgHaVk27_MapdOTf7Q_8_0"/>
      <w:bookmarkStart w:id="1006" w:name="Tc_DswnXYqeikuQ8okAysg_nw_7_0"/>
      <w:bookmarkStart w:id="1007" w:name="Tc_KK3ilz1XKE-cWm7YRSYNcg_6_0"/>
      <w:bookmarkStart w:id="1008" w:name="Tc_LPrtpBktG0Sm5VdUNBFUVg_5_0"/>
      <w:bookmarkStart w:id="1009" w:name="Tc_t-rob4mxL06MRXy1ZmKZBg_4_0"/>
      <w:bookmarkStart w:id="1010" w:name="Tc_Fxn5QLEMn0uo-LKiDZyfiA_3_0"/>
      <w:bookmarkStart w:id="1011" w:name="Tc_IK2Gjs8NVEObNNspOkW-3Q_2_0"/>
      <w:bookmarkStart w:id="1012" w:name="Tc_Hv1XE7AyeUusXLc0GieCKw_1_4"/>
      <w:bookmarkStart w:id="1013" w:name="Tc_CnzrGSkYXkCj_GLlw5d2cA_1_2"/>
      <w:bookmarkStart w:id="1014" w:name="Tc_0B4ccKpUV0izjOPb5Px5Rg_1_0"/>
      <w:bookmarkStart w:id="1015" w:name="a16ShareBasedcompensation_274881"/>
      <w:bookmarkEnd w:id="1005"/>
      <w:bookmarkEnd w:id="1006"/>
      <w:bookmarkEnd w:id="1007"/>
      <w:bookmarkEnd w:id="1008"/>
      <w:bookmarkEnd w:id="1009"/>
      <w:bookmarkEnd w:id="1010"/>
      <w:bookmarkEnd w:id="1011"/>
      <w:bookmarkEnd w:id="1012"/>
      <w:bookmarkEnd w:id="1013"/>
      <w:bookmarkEnd w:id="1014"/>
      <w:bookmarkEnd w:id="1015"/>
      <w:r>
        <w:rPr>
          <w:rFonts w:ascii="Times New Roman;Times;serif" w:hAnsi="Times New Roman;Times;serif"/>
          <w:b/>
          <w:i w:val="false"/>
          <w:caps w:val="false"/>
          <w:smallCaps w:val="false"/>
          <w:sz w:val="20"/>
        </w:rPr>
        <w:t>17.</w:t>
      </w:r>
      <w:r>
        <w:rPr>
          <w:rFonts w:ascii="Times New Roman;Times;serif" w:hAnsi="Times New Roman;Times;serif"/>
          <w:b/>
          <w:sz w:val="20"/>
        </w:rPr>
        <w:t>Share-Based compensation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Equity-settled share-based payment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2026, the Company has five outstanding equity-settled share-based incentive plans, including (i) the 2021 warrants plan (the 2021 plan), (ii) the 2022 warrants plan (the 2022 plan), (iii) the 2024 warrants plan (the 2024 plan), (iv) the 2025 warrants plan (the 2025 plan) and (v) the 2025-2 warrants plan (the 2025-2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changes of the year for the equity-settled warrant plans are as follows:</w:t>
      </w:r>
    </w:p>
    <w:p>
      <w:pPr>
        <w:pStyle w:val="TextBody"/>
        <w:bidi w:val="0"/>
        <w:spacing w:before="0" w:after="0"/>
        <w:ind w:left="0" w:right="0" w:hanging="0"/>
        <w:jc w:val="left"/>
        <w:rPr/>
      </w:pPr>
      <w:r>
        <w:rPr/>
        <w:t>​</w:t>
      </w:r>
    </w:p>
    <w:tbl>
      <w:tblPr>
        <w:tblW w:w="8150" w:type="dxa"/>
        <w:jc w:val="left"/>
        <w:tblInd w:w="0" w:type="dxa"/>
        <w:tblLayout w:type="fixed"/>
        <w:tblCellMar>
          <w:top w:w="0" w:type="dxa"/>
          <w:left w:w="0" w:type="dxa"/>
          <w:bottom w:w="0" w:type="dxa"/>
          <w:right w:w="0" w:type="dxa"/>
        </w:tblCellMar>
      </w:tblPr>
      <w:tblGrid>
        <w:gridCol w:w="5491"/>
        <w:gridCol w:w="346"/>
        <w:gridCol w:w="931"/>
        <w:gridCol w:w="346"/>
        <w:gridCol w:w="1036"/>
      </w:tblGrid>
      <w:tr>
        <w:trPr/>
        <w:tc>
          <w:tcPr>
            <w:tcW w:w="5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3486785" cy="175260"/>
                      <wp:effectExtent l="0" t="0" r="0" b="0"/>
                      <wp:wrapNone/>
                      <wp:docPr id="166" name="Frame159"/>
                      <a:graphic xmlns:a="http://schemas.openxmlformats.org/drawingml/2006/main">
                        <a:graphicData uri="http://schemas.microsoft.com/office/word/2010/wordprocessingShape">
                          <wps:wsp>
                            <wps:cNvSpPr txBox="1"/>
                            <wps:spPr>
                              <a:xfrm>
                                <a:off x="0" y="0"/>
                                <a:ext cx="3486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19710" cy="175260"/>
                      <wp:effectExtent l="0" t="0" r="0" b="0"/>
                      <wp:wrapNone/>
                      <wp:docPr id="167"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591185" cy="175260"/>
                      <wp:effectExtent l="0" t="0" r="0" b="0"/>
                      <wp:wrapNone/>
                      <wp:docPr id="168" name="Frame1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219710" cy="175260"/>
                      <wp:effectExtent l="0" t="0" r="0" b="0"/>
                      <wp:wrapNone/>
                      <wp:docPr id="169" name="Frame1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57860" cy="175260"/>
                      <wp:effectExtent l="0" t="0" r="0" b="0"/>
                      <wp:wrapNone/>
                      <wp:docPr id="170" name="Frame16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491"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Number of shares (after share split) warrants give right to across all plans</w:t>
            </w:r>
          </w:p>
        </w:tc>
        <w:tc>
          <w:tcPr>
            <w:tcW w:w="346" w:type="dxa"/>
            <w:tcBorders/>
            <w:vAlign w:val="center"/>
          </w:tcPr>
          <w:p>
            <w:pPr>
              <w:pStyle w:val="TableContents"/>
              <w:bidi w:val="0"/>
              <w:spacing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4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at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3,207,819</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2,258,319</w:t>
            </w:r>
          </w:p>
        </w:tc>
      </w:tr>
      <w:tr>
        <w:trPr/>
        <w:tc>
          <w:tcPr>
            <w:tcW w:w="54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656,552</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658,374</w:t>
            </w:r>
          </w:p>
        </w:tc>
      </w:tr>
      <w:tr>
        <w:trPr/>
        <w:tc>
          <w:tcPr>
            <w:tcW w:w="54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(56,231)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(37,377)</w:t>
            </w:r>
          </w:p>
        </w:tc>
      </w:tr>
      <w:tr>
        <w:trPr/>
        <w:tc>
          <w:tcPr>
            <w:tcW w:w="54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(13,875)</w:t>
            </w:r>
          </w:p>
        </w:tc>
      </w:tr>
      <w:tr>
        <w:trPr/>
        <w:tc>
          <w:tcPr>
            <w:tcW w:w="54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4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(76,250)</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(67,500)</w:t>
            </w:r>
          </w:p>
        </w:tc>
      </w:tr>
      <w:tr>
        <w:trPr/>
        <w:tc>
          <w:tcPr>
            <w:tcW w:w="549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Outstanding as at June 30</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3,731,890</w:t>
            </w:r>
          </w:p>
        </w:tc>
        <w:tc>
          <w:tcPr>
            <w:tcW w:w="34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2,797,941</w:t>
            </w:r>
          </w:p>
        </w:tc>
      </w:tr>
      <w:tr>
        <w:trPr/>
        <w:tc>
          <w:tcPr>
            <w:tcW w:w="549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Exercisable as at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2,234,941</w:t>
            </w:r>
          </w:p>
        </w:tc>
        <w:tc>
          <w:tcPr>
            <w:tcW w:w="34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1,715,849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warrants were granted during 2025:</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On February 1, 2025, 329,431 warrants were granted from the 2024 plan (17,000 warrants were not accepted)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On February 1, 2025, 223,943 warrants were granted from the 2025 plan (10,000 warrants were not accepted)</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On March 14, 2025, 45,000 warrants were granted from the 2025 plan</w:t>
      </w:r>
    </w:p>
    <w:p>
      <w:pPr>
        <w:pStyle w:val="TextBody"/>
        <w:bidi w:val="0"/>
        <w:spacing w:before="0" w:after="240"/>
        <w:ind w:left="36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On April 8, 2025, 30,000 warrants were granted from the 2025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sz w:val="20"/>
        </w:rPr>
      </w:pPr>
      <w:bookmarkStart w:id="1016" w:name="Tc_U629d88ZTEGOmKUkjk8QTg_11_8"/>
      <w:bookmarkStart w:id="1017" w:name="Tc_Cn2pFXq90E6gN-2ILlI1Qg_11_0"/>
      <w:bookmarkStart w:id="1018" w:name="Tc_dMSZ8WTNuk-l_4maLoacKA_10_0"/>
      <w:bookmarkStart w:id="1019" w:name="Tc_-rIKoTXwa0GtXUlao3MxAw_9_0"/>
      <w:bookmarkStart w:id="1020" w:name="Tc_et-xiWhna0elUUx54HT7AA_8_0"/>
      <w:bookmarkStart w:id="1021" w:name="Tc_Jkzg4g3QrEaYgh0TqX7NCg_7_0"/>
      <w:bookmarkStart w:id="1022" w:name="Tc_8Vs7YAkl5kGrJSXxITuX_A_6_9"/>
      <w:bookmarkStart w:id="1023" w:name="Tc_I9ewD17fFUygujh8fC--KA_6_7"/>
      <w:bookmarkStart w:id="1024" w:name="Tc_taahzQBdn0KGOpPgXg3N-g_6_5"/>
      <w:bookmarkStart w:id="1025" w:name="Tc_76Zk2ObiWEOEMbpw35Jr6w_6_3"/>
      <w:bookmarkStart w:id="1026" w:name="Tc_Jajy7rOs7EyS2-HmEpXueA_6_0"/>
      <w:bookmarkStart w:id="1027" w:name="Tc_itSEHKcZtUmT1LKTm-2k3Q_5_9"/>
      <w:bookmarkStart w:id="1028" w:name="Tc_gQdwtqntNEqEjRM72QQzjg_5_7"/>
      <w:bookmarkStart w:id="1029" w:name="Tc_i8J0gqVqpES6o0IQWCaShg_5_5"/>
      <w:bookmarkStart w:id="1030" w:name="Tc_tL2XQNKG60yyOCLx0YLFxA_5_3"/>
      <w:bookmarkStart w:id="1031" w:name="Tc_yvskV04IckWsHjRjvswoHg_5_0"/>
      <w:bookmarkStart w:id="1032" w:name="Tc_T7ixyKBaPEmXUyHJ6Vtt3w_4_9"/>
      <w:bookmarkStart w:id="1033" w:name="Tc_XvqrAeo83Ueb4iSxIkx3Qw_4_7"/>
      <w:bookmarkStart w:id="1034" w:name="Tc_7fwVd8nqo0CyWZacDyZFHg_4_5"/>
      <w:bookmarkStart w:id="1035" w:name="Tc_1sYbhvefgUy0FzeroBJrAQ_4_3"/>
      <w:bookmarkStart w:id="1036" w:name="Tc_x2KoV18R70aMr_o-1qCI2g_4_0"/>
      <w:bookmarkStart w:id="1037" w:name="Tc_UAhOo1FkvUanhEgjuZ-zOg_3_8"/>
      <w:bookmarkStart w:id="1038" w:name="Tc_oN2Sw_1PEUC9Nt52wyX8QA_3_6"/>
      <w:bookmarkStart w:id="1039" w:name="Tc_hRXkBwi8ckSocKdmZh4o6Q_3_4"/>
      <w:bookmarkStart w:id="1040" w:name="Tc_G4MVQDW2-Um7Bcnb7uSvCw_3_2"/>
      <w:bookmarkStart w:id="1041" w:name="Tc_T6zygVbXeU2LAX5tAs5k6g_2_8"/>
      <w:bookmarkStart w:id="1042" w:name="Tc_z4aqnw3V1k2nEzNL5qZ_Yg_2_6"/>
      <w:bookmarkStart w:id="1043" w:name="Tc_VpuxF90j80WLnJZxPqBbYQ_2_4"/>
      <w:bookmarkStart w:id="1044" w:name="Tc_OCUCJEqiPU6yNN_v5Bsv4A_2_2"/>
      <w:bookmarkStart w:id="1045" w:name="Tc_ynmKAU_rO0eT__fQH-cYPw_1_8"/>
      <w:bookmarkStart w:id="1046" w:name="Tc_V5W2-vmCKEaxIZbNKP-dQQ_1_6"/>
      <w:bookmarkStart w:id="1047" w:name="Tc_rul8ghAIOEq1Nl06xl3PHQ_1_4"/>
      <w:bookmarkStart w:id="1048" w:name="Tc_jFK-hnFIWE2aHwNPFXFP5Q_1_2"/>
      <w:bookmarkStart w:id="1049" w:name="_2e39327a_6cbc_4318_ad3a_ae073cd0b74d"/>
      <w:bookmarkStart w:id="1050" w:name="Tc_hhMy_u-eCkyK5JrukpdnrQ_11_8"/>
      <w:bookmarkStart w:id="1051" w:name="Tc_H9dfa3BCDkOkTO43t6vLRg_11_6"/>
      <w:bookmarkStart w:id="1052" w:name="Tc_GSGVnbzRK0OtAj6xTO509Q_11_4"/>
      <w:bookmarkStart w:id="1053" w:name="Tc_Y3NtlAa3-Eyz55YlqfhGaQ_11_2"/>
      <w:bookmarkStart w:id="1054" w:name="Tc_zNzSD489W0arxenwocu7gQ_11_0"/>
      <w:bookmarkStart w:id="1055" w:name="Tc_jKXykv_U7kO6yhVXfsHCxQ_10_0"/>
      <w:bookmarkStart w:id="1056" w:name="Tc_KZD6AkSqPkioYTKWEfxtAw_9_0"/>
      <w:bookmarkStart w:id="1057" w:name="Tc_LnLT8DmhC0K_POmm9VqwCA_8_0"/>
      <w:bookmarkStart w:id="1058" w:name="Tc_2Fdu35oI2kSc-WJNQjGdoA_7_0"/>
      <w:bookmarkStart w:id="1059" w:name="Tc_wD5hfvlK6kG0noZvPnJfDQ_6_9"/>
      <w:bookmarkStart w:id="1060" w:name="Tc_lcTyf84McE2v6ZD9xTZMSQ_6_7"/>
      <w:bookmarkStart w:id="1061" w:name="Tc_0Yuyn76eF0q7drSdZG5GXQ_6_5"/>
      <w:bookmarkStart w:id="1062" w:name="Tc_FxCcpMGlx0u04633OFY5tA_6_3"/>
      <w:bookmarkStart w:id="1063" w:name="Tc_gG0qcKGSZkWgqY2YrrO4bQ_6_0"/>
      <w:bookmarkStart w:id="1064" w:name="Tc_HX4PiOC6ZU-jFVR_28JCsw_5_9"/>
      <w:bookmarkStart w:id="1065" w:name="Tc_zsqXWHdb50i03jwbCH0KLg_5_7"/>
      <w:bookmarkStart w:id="1066" w:name="Tc_VD3VwJ-4tkmy0sjiLIewOA_5_5"/>
      <w:bookmarkStart w:id="1067" w:name="Tc_NqNf7NK0TUC-AQtVIaa1Bw_5_3"/>
      <w:bookmarkStart w:id="1068" w:name="Tc_TQmo6CfMak2P_0YSaSCooQ_5_0"/>
      <w:bookmarkStart w:id="1069" w:name="Tc_TYWLd6x7YkSTFoLyTw1ubg_4_9"/>
      <w:bookmarkStart w:id="1070" w:name="Tc_If_ysCe7fUSVCDsLLx42PQ_4_7"/>
      <w:bookmarkStart w:id="1071" w:name="Tc_KCMfTVZiwEiGH27gegR3Jw_4_5"/>
      <w:bookmarkStart w:id="1072" w:name="Tc_rD8eUtj3FUWkxBR6LATtpQ_4_3"/>
      <w:bookmarkStart w:id="1073" w:name="Tc_gXE5CWvJvk6tqLgT0XznvA_4_0"/>
      <w:bookmarkStart w:id="1074" w:name="Tc_RPu1mPdcXEyTKF0EL5k38w_3_8"/>
      <w:bookmarkStart w:id="1075" w:name="Tc_OPi26_Lcxke5-BOakj2UgQ_3_6"/>
      <w:bookmarkStart w:id="1076" w:name="Tc_EzQCmKx5H0-XduxWkR1YXA_3_4"/>
      <w:bookmarkStart w:id="1077" w:name="Tc_kW27lypORkOfhGI3iV_8fQ_3_2"/>
      <w:bookmarkStart w:id="1078" w:name="Tc_EXLSAbwIQ0W3LyY7m9yJJw_2_8"/>
      <w:bookmarkStart w:id="1079" w:name="Tc_1bNHhQeZoUK4axgTxi7Zdg_2_6"/>
      <w:bookmarkStart w:id="1080" w:name="Tc_Ct4art4GO0qrS8vO4ebASA_2_4"/>
      <w:bookmarkStart w:id="1081" w:name="Tc_S3Rp5gwc2kSx8wsOM0Wszg_2_2"/>
      <w:bookmarkStart w:id="1082" w:name="Tc_mH6LJozf-ECw1I6YlxmeMQ_1_8"/>
      <w:bookmarkStart w:id="1083" w:name="Tc_HmVk28mk0kmdRfU5lqDfyg_1_6"/>
      <w:bookmarkStart w:id="1084" w:name="Tc_gdoYpJdd0kGM4d5HECeJKw_1_4"/>
      <w:bookmarkStart w:id="1085" w:name="Tc_-tolZnEKiky3TKGCEeOMtA_1_2"/>
      <w:bookmarkStart w:id="1086" w:name="_3cc89cdd_cf47_4dd8_aacc_ff860fb94723"/>
      <w:bookmarkStart w:id="1087" w:name="Tc_Afl9kqVsFUeP1IrLh3SUwg_10_0"/>
      <w:bookmarkStart w:id="1088" w:name="Tc__xVR7PFhFUiNSnwMTgtiBw_9_0"/>
      <w:bookmarkStart w:id="1089" w:name="Tc_fQKeaB_Cokuz3BGlfcOwFg_8_0"/>
      <w:bookmarkStart w:id="1090" w:name="Tc_sEgqY-sb4061ysYO6Srd1Q_7_0"/>
      <w:bookmarkStart w:id="1091" w:name="Tc_ltcicCzMkEqmvm94NWMuVA_6_7"/>
      <w:bookmarkStart w:id="1092" w:name="Tc_CLADYZ7K9kewIqo6HrjE2g_6_5"/>
      <w:bookmarkStart w:id="1093" w:name="Tc_3JFXJZFSbUKHwoPTiC6aZQ_6_3"/>
      <w:bookmarkStart w:id="1094" w:name="Tc_83dkYxmHOkqWjKxMeg5zuQ_6_0"/>
      <w:bookmarkStart w:id="1095" w:name="Tc_agKIEloXnUuV1HZ9NHNqMQ_5_7"/>
      <w:bookmarkStart w:id="1096" w:name="Tc_l-DalJGNTEaQQGWsMhH2ig_5_5"/>
      <w:bookmarkStart w:id="1097" w:name="Tc_7kdLtyGfe02PA7KZaNcqqw_5_3"/>
      <w:bookmarkStart w:id="1098" w:name="Tc_4wdNzuEEDEOZuneNDUXd8g_5_0"/>
      <w:bookmarkStart w:id="1099" w:name="Tc_3EJxT-Ccy0G0ymTvFKMklg_4_7"/>
      <w:bookmarkStart w:id="1100" w:name="Tc_HjL9cT1jLUKwnCJYezj7TQ_4_5"/>
      <w:bookmarkStart w:id="1101" w:name="Tc_sQ2bQqtjIEiIapXjybvfmg_4_3"/>
      <w:bookmarkStart w:id="1102" w:name="Tc_lBBUE4wYD0mKykv126S_9w_4_0"/>
      <w:bookmarkStart w:id="1103" w:name="Tc_LDOWHvWtXkmN8d0rZootiQ_3_6"/>
      <w:bookmarkStart w:id="1104" w:name="Tc_Ru17Ebm6D0ygxDkGCb6wCw_3_4"/>
      <w:bookmarkStart w:id="1105" w:name="Tc_ZFHP1qeJWUmOzlAJRmUCjA_3_2"/>
      <w:bookmarkStart w:id="1106" w:name="Tc_W4wfU7disk2UYH_8N93-Xg_2_6"/>
      <w:bookmarkStart w:id="1107" w:name="Tc_hJeW2Pp5YEi6h72oucj8wg_2_4"/>
      <w:bookmarkStart w:id="1108" w:name="Tc_WgLeuEBouUuPB2PJH7wE2A_2_2"/>
      <w:bookmarkStart w:id="1109" w:name="Tc_f5DAfs7MzEyWeNZYWWVtmA_1_6"/>
      <w:bookmarkStart w:id="1110" w:name="Tc_bAYF9YfKZEOEFtoxvyP64w_1_4"/>
      <w:bookmarkStart w:id="1111" w:name="Tc_aa0TAKnsmUWf1wF8BcoMww_1_2"/>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r>
        <w:rPr>
          <w:rFonts w:ascii="Times New Roman;Times;serif" w:hAnsi="Times New Roman;Times;serif"/>
          <w:b w:val="false"/>
          <w:i w:val="false"/>
          <w:caps w:val="false"/>
          <w:smallCaps w:val="false"/>
          <w:sz w:val="20"/>
        </w:rPr>
        <w:t>-</w:t>
      </w:r>
      <w:r>
        <w:rPr>
          <w:rFonts w:ascii="Times New Roman;Times;serif" w:hAnsi="Times New Roman;Times;serif"/>
          <w:sz w:val="20"/>
        </w:rPr>
        <w:t>On May 5, 2025, 30,000 warrants were granted from the 2025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January 18, 2026, 230,000 warrants were granted from the 2025-2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June 26, 2026, 2,000 warrants were granted from the 2024 plan, 677 warrants were granted from the 2025 plan and 423,875 warrants were granted from the 2025-2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 below provides the input to the Black-Scholes model for warrants granted in the second quarter of 2026.</w:t>
      </w:r>
    </w:p>
    <w:p>
      <w:pPr>
        <w:pStyle w:val="TextBody"/>
        <w:bidi w:val="0"/>
        <w:spacing w:before="0" w:after="0"/>
        <w:ind w:left="0" w:right="0" w:hanging="0"/>
        <w:jc w:val="left"/>
        <w:rPr/>
      </w:pPr>
      <w:r>
        <w:rPr/>
        <w:t>​</w:t>
      </w:r>
    </w:p>
    <w:tbl>
      <w:tblPr>
        <w:tblW w:w="6698" w:type="dxa"/>
        <w:jc w:val="left"/>
        <w:tblInd w:w="0" w:type="dxa"/>
        <w:tblLayout w:type="fixed"/>
        <w:tblCellMar>
          <w:top w:w="0" w:type="dxa"/>
          <w:left w:w="0" w:type="dxa"/>
          <w:bottom w:w="0" w:type="dxa"/>
          <w:right w:w="0" w:type="dxa"/>
        </w:tblCellMar>
      </w:tblPr>
      <w:tblGrid>
        <w:gridCol w:w="1846"/>
        <w:gridCol w:w="346"/>
        <w:gridCol w:w="1156"/>
        <w:gridCol w:w="361"/>
        <w:gridCol w:w="1156"/>
        <w:gridCol w:w="361"/>
        <w:gridCol w:w="1156"/>
        <w:gridCol w:w="316"/>
      </w:tblGrid>
      <w:tr>
        <w:trPr/>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172210" cy="175260"/>
                      <wp:effectExtent l="0" t="0" r="0" b="0"/>
                      <wp:wrapNone/>
                      <wp:docPr id="171" name="Frame164"/>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19710" cy="175260"/>
                      <wp:effectExtent l="0" t="0" r="0" b="0"/>
                      <wp:wrapNone/>
                      <wp:docPr id="172" name="Frame1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734060" cy="175260"/>
                      <wp:effectExtent l="0" t="0" r="0" b="0"/>
                      <wp:wrapNone/>
                      <wp:docPr id="173" name="Frame16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229235" cy="175260"/>
                      <wp:effectExtent l="0" t="0" r="0" b="0"/>
                      <wp:wrapNone/>
                      <wp:docPr id="174" name="Frame16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734060" cy="175260"/>
                      <wp:effectExtent l="0" t="0" r="0" b="0"/>
                      <wp:wrapNone/>
                      <wp:docPr id="175" name="Frame16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29235" cy="175260"/>
                      <wp:effectExtent l="0" t="0" r="0" b="0"/>
                      <wp:wrapNone/>
                      <wp:docPr id="176" name="Frame16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734060" cy="175260"/>
                      <wp:effectExtent l="0" t="0" r="0" b="0"/>
                      <wp:wrapNone/>
                      <wp:docPr id="177" name="Frame170"/>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00660" cy="175260"/>
                      <wp:effectExtent l="0" t="0" r="0" b="0"/>
                      <wp:wrapNone/>
                      <wp:docPr id="178" name="Frame17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56"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Plan 2024</w:t>
            </w:r>
            <w:r>
              <w:rPr>
                <w:rFonts w:ascii="Times New Roman;Times;serif" w:hAnsi="Times New Roman;Times;serif"/>
                <w:sz w:val="16"/>
              </w:rPr>
              <w:t> </w:t>
            </w:r>
          </w:p>
        </w:tc>
        <w:tc>
          <w:tcPr>
            <w:tcW w:w="361" w:type="dxa"/>
            <w:tcBorders/>
            <w:vAlign w:val="center"/>
          </w:tcPr>
          <w:p>
            <w:pPr>
              <w:pStyle w:val="TableContents"/>
              <w:bidi w:val="0"/>
              <w:spacing w:before="0" w:after="0"/>
              <w:ind w:left="0" w:right="0" w:hanging="0"/>
              <w:jc w:val="left"/>
              <w:rPr/>
            </w:pPr>
            <w:r>
              <w:rPr/>
              <w:t>  ​ ​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2025 </w:t>
            </w:r>
          </w:p>
        </w:tc>
        <w:tc>
          <w:tcPr>
            <w:tcW w:w="361" w:type="dxa"/>
            <w:tcBorders/>
            <w:vAlign w:val="center"/>
          </w:tcPr>
          <w:p>
            <w:pPr>
              <w:pStyle w:val="TableContents"/>
              <w:bidi w:val="0"/>
              <w:spacing w:before="0" w:after="0"/>
              <w:ind w:left="0" w:right="0" w:hanging="0"/>
              <w:jc w:val="left"/>
              <w:rPr/>
            </w:pPr>
            <w:r>
              <w:rPr/>
              <w:t>  ​ ​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2025-2</w:t>
            </w:r>
          </w:p>
        </w:tc>
        <w:tc>
          <w:tcPr>
            <w:tcW w:w="316" w:type="dxa"/>
            <w:tcBorders/>
            <w:vAlign w:val="center"/>
          </w:tcPr>
          <w:p>
            <w:pPr>
              <w:pStyle w:val="TableContents"/>
              <w:bidi w:val="0"/>
              <w:spacing w:before="0" w:after="0"/>
              <w:ind w:left="0" w:right="0" w:hanging="0"/>
              <w:jc w:val="center"/>
              <w:rPr/>
            </w:pPr>
            <w:r>
              <w:rPr/>
              <w:t> </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Jun 26 </w:t>
            </w:r>
          </w:p>
        </w:tc>
        <w:tc>
          <w:tcPr>
            <w:tcW w:w="36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Jun 26 </w:t>
            </w:r>
          </w:p>
        </w:tc>
        <w:tc>
          <w:tcPr>
            <w:tcW w:w="36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Jun 26 </w:t>
            </w:r>
          </w:p>
        </w:tc>
        <w:tc>
          <w:tcPr>
            <w:tcW w:w="316" w:type="dxa"/>
            <w:tcBorders/>
            <w:vAlign w:val="center"/>
          </w:tcPr>
          <w:p>
            <w:pPr>
              <w:pStyle w:val="TableContents"/>
              <w:bidi w:val="0"/>
              <w:spacing w:before="0" w:after="0"/>
              <w:ind w:left="0" w:right="0" w:hanging="0"/>
              <w:jc w:val="center"/>
              <w:rPr/>
            </w:pPr>
            <w:r>
              <w:rPr/>
              <w:t> </w:t>
            </w:r>
          </w:p>
        </w:tc>
      </w:tr>
      <w:tr>
        <w:trPr/>
        <w:tc>
          <w:tcPr>
            <w:tcW w:w="184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1"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before="0" w:after="0"/>
              <w:ind w:left="0" w:right="0" w:hanging="0"/>
              <w:jc w:val="center"/>
              <w:rPr/>
            </w:pPr>
            <w:r>
              <w:rPr/>
              <w:t> </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Dividend</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vAlign w:val="center"/>
          </w:tcPr>
          <w:p>
            <w:pPr>
              <w:pStyle w:val="TableContents"/>
              <w:bidi w:val="0"/>
              <w:spacing w:before="0" w:after="0"/>
              <w:ind w:left="0" w:right="0" w:hanging="0"/>
              <w:jc w:val="left"/>
              <w:rPr/>
            </w:pPr>
            <w:r>
              <w:rPr/>
              <w:t>​</w:t>
            </w:r>
          </w:p>
        </w:tc>
      </w:tr>
      <w:tr>
        <w:trPr/>
        <w:tc>
          <w:tcPr>
            <w:tcW w:w="18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6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6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0.75</w:t>
            </w:r>
          </w:p>
        </w:tc>
        <w:tc>
          <w:tcPr>
            <w:tcW w:w="31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June 26, 2026, the Company reduced the exercise price of the outstanding warrants previously granted to warrant holders under all Warrants Plans to 1.53 EUR to reflect the decrease in the company’s share price. All other terms and conditions of the re-priced warrants remain unchanged to the original option agreement. The Company determined the fair value of the options at the date of the modification (June 26, 2026). The incremental fair value of the re-priced warrants will be recognised as an expense over the period from the modification date to the end of the vesting period. For the warrants already vested at the date of modification, the incremental fair value is fully recognised in P&amp;L at date of modification. The expense for the original option grant will continue to be recognised as if the terms had not been modified.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of the modified warrants was determined using the same models and principles as described above, with the following model inputs:</w:t>
      </w:r>
    </w:p>
    <w:p>
      <w:pPr>
        <w:pStyle w:val="TextBody"/>
        <w:bidi w:val="0"/>
        <w:spacing w:before="0" w:after="0"/>
        <w:ind w:left="0" w:right="0" w:hanging="0"/>
        <w:jc w:val="both"/>
        <w:rPr/>
      </w:pPr>
      <w:r>
        <w:rPr/>
        <w:t>​</w:t>
      </w:r>
    </w:p>
    <w:tbl>
      <w:tblPr>
        <w:tblW w:w="8410" w:type="dxa"/>
        <w:jc w:val="left"/>
        <w:tblInd w:w="0" w:type="dxa"/>
        <w:tblLayout w:type="fixed"/>
        <w:tblCellMar>
          <w:top w:w="0" w:type="dxa"/>
          <w:left w:w="0" w:type="dxa"/>
          <w:bottom w:w="0" w:type="dxa"/>
          <w:right w:w="0" w:type="dxa"/>
        </w:tblCellMar>
      </w:tblPr>
      <w:tblGrid>
        <w:gridCol w:w="1936"/>
        <w:gridCol w:w="346"/>
        <w:gridCol w:w="1201"/>
        <w:gridCol w:w="361"/>
        <w:gridCol w:w="1156"/>
        <w:gridCol w:w="361"/>
        <w:gridCol w:w="1156"/>
        <w:gridCol w:w="361"/>
        <w:gridCol w:w="1216"/>
        <w:gridCol w:w="31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29360" cy="175260"/>
                      <wp:effectExtent l="0" t="0" r="0" b="0"/>
                      <wp:wrapNone/>
                      <wp:docPr id="179" name="Frame172"/>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762635" cy="175260"/>
                      <wp:effectExtent l="0" t="0" r="0" b="0"/>
                      <wp:wrapNone/>
                      <wp:docPr id="181" name="Frame17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9235" cy="175260"/>
                      <wp:effectExtent l="0" t="0" r="0" b="0"/>
                      <wp:wrapNone/>
                      <wp:docPr id="182" name="Frame17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734060" cy="175260"/>
                      <wp:effectExtent l="0" t="0" r="0" b="0"/>
                      <wp:wrapNone/>
                      <wp:docPr id="183" name="Frame17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29235" cy="175260"/>
                      <wp:effectExtent l="0" t="0" r="0" b="0"/>
                      <wp:wrapNone/>
                      <wp:docPr id="184" name="Frame17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34060" cy="175260"/>
                      <wp:effectExtent l="0" t="0" r="0" b="0"/>
                      <wp:wrapNone/>
                      <wp:docPr id="185" name="Frame178"/>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29235" cy="175260"/>
                      <wp:effectExtent l="0" t="0" r="0" b="0"/>
                      <wp:wrapNone/>
                      <wp:docPr id="186" name="Frame17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772160" cy="175260"/>
                      <wp:effectExtent l="0" t="0" r="0" b="0"/>
                      <wp:wrapNone/>
                      <wp:docPr id="187" name="Frame180"/>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00660" cy="175260"/>
                      <wp:effectExtent l="0" t="0" r="0" b="0"/>
                      <wp:wrapNone/>
                      <wp:docPr id="188" name="Frame18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2021 </w:t>
            </w:r>
          </w:p>
        </w:tc>
        <w:tc>
          <w:tcPr>
            <w:tcW w:w="361" w:type="dxa"/>
            <w:tcBorders/>
            <w:vAlign w:val="center"/>
          </w:tcPr>
          <w:p>
            <w:pPr>
              <w:pStyle w:val="TableContents"/>
              <w:bidi w:val="0"/>
              <w:spacing w:before="0" w:after="0"/>
              <w:ind w:left="0" w:right="0" w:hanging="0"/>
              <w:jc w:val="left"/>
              <w:rPr/>
            </w:pPr>
            <w:r>
              <w:rPr/>
              <w:t>  ​ ​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2021 </w:t>
            </w:r>
          </w:p>
        </w:tc>
        <w:tc>
          <w:tcPr>
            <w:tcW w:w="361" w:type="dxa"/>
            <w:tcBorders/>
            <w:vAlign w:val="center"/>
          </w:tcPr>
          <w:p>
            <w:pPr>
              <w:pStyle w:val="TableContents"/>
              <w:bidi w:val="0"/>
              <w:spacing w:before="0" w:after="0"/>
              <w:ind w:left="0" w:right="0" w:hanging="0"/>
              <w:jc w:val="left"/>
              <w:rPr/>
            </w:pPr>
            <w:r>
              <w:rPr/>
              <w:t>  ​ ​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2021 </w:t>
            </w:r>
          </w:p>
        </w:tc>
        <w:tc>
          <w:tcPr>
            <w:tcW w:w="361" w:type="dxa"/>
            <w:tcBorders/>
            <w:vAlign w:val="center"/>
          </w:tcPr>
          <w:p>
            <w:pPr>
              <w:pStyle w:val="TableContents"/>
              <w:bidi w:val="0"/>
              <w:spacing w:before="0" w:after="0"/>
              <w:ind w:left="0" w:right="0" w:hanging="0"/>
              <w:jc w:val="left"/>
              <w:rPr/>
            </w:pPr>
            <w:r>
              <w:rPr/>
              <w:t>  ​ ​ ​</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2021 </w:t>
            </w:r>
          </w:p>
        </w:tc>
        <w:tc>
          <w:tcPr>
            <w:tcW w:w="316" w:type="dxa"/>
            <w:tcBorders/>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Sept 17 </w:t>
            </w:r>
          </w:p>
        </w:tc>
        <w:tc>
          <w:tcPr>
            <w:tcW w:w="36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Oct 27 </w:t>
            </w:r>
          </w:p>
        </w:tc>
        <w:tc>
          <w:tcPr>
            <w:tcW w:w="361"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Feb 21 </w:t>
            </w:r>
          </w:p>
        </w:tc>
        <w:tc>
          <w:tcPr>
            <w:tcW w:w="361"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May 14 </w:t>
            </w:r>
          </w:p>
        </w:tc>
        <w:tc>
          <w:tcPr>
            <w:tcW w:w="316" w:type="dxa"/>
            <w:tcBorders/>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16" w:type="dxa"/>
            <w:tcBorders/>
            <w:vAlign w:val="center"/>
          </w:tcPr>
          <w:p>
            <w:pPr>
              <w:pStyle w:val="TableContents"/>
              <w:bidi w:val="0"/>
              <w:spacing w:before="0" w:after="0"/>
              <w:ind w:left="0" w:right="0" w:hanging="0"/>
              <w:jc w:val="center"/>
              <w:rPr/>
            </w:pPr>
            <w:r>
              <w:rPr/>
              <w:t> </w:t>
            </w:r>
          </w:p>
        </w:tc>
      </w:tr>
      <w:tr>
        <w:trPr/>
        <w:tc>
          <w:tcPr>
            <w:tcW w:w="19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Dividend</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pPr>
            <w:r>
              <w:rPr/>
              <w:t>​</w:t>
            </w:r>
          </w:p>
        </w:tc>
      </w:tr>
      <w:tr>
        <w:trPr/>
        <w:tc>
          <w:tcPr>
            <w:tcW w:w="19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vAlign w:val="center"/>
          </w:tcPr>
          <w:p>
            <w:pPr>
              <w:pStyle w:val="TableContents"/>
              <w:bidi w:val="0"/>
              <w:spacing w:before="0" w:after="0"/>
              <w:ind w:left="0" w:right="0" w:hanging="0"/>
              <w:jc w:val="left"/>
              <w:rPr/>
            </w:pPr>
            <w:r>
              <w:rPr/>
              <w:t>​</w:t>
            </w:r>
          </w:p>
        </w:tc>
      </w:tr>
      <w:tr>
        <w:trPr/>
        <w:tc>
          <w:tcPr>
            <w:tcW w:w="19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6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61"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61"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Fair value</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0.47-0.59*</w:t>
            </w:r>
          </w:p>
        </w:tc>
        <w:tc>
          <w:tcPr>
            <w:tcW w:w="36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0.47-0.59*</w:t>
            </w:r>
          </w:p>
        </w:tc>
        <w:tc>
          <w:tcPr>
            <w:tcW w:w="361"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0.47-0.59*</w:t>
            </w:r>
          </w:p>
        </w:tc>
        <w:tc>
          <w:tcPr>
            <w:tcW w:w="361"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0.47-0.58*</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sz w:val="20"/>
        </w:rPr>
        <w:t>*</w:t>
      </w:r>
      <w:r>
        <w:rPr>
          <w:rFonts w:ascii="Times New Roman;Times;serif" w:hAnsi="Times New Roman;Times;serif"/>
          <w:i/>
          <w:sz w:val="20"/>
        </w:rPr>
        <w:t>Incremental fair value of the warrants that were not repriced on March 24, 2023.</w:t>
      </w:r>
    </w:p>
    <w:tbl>
      <w:tblPr>
        <w:tblW w:w="8470" w:type="dxa"/>
        <w:jc w:val="left"/>
        <w:tblInd w:w="0" w:type="dxa"/>
        <w:tblLayout w:type="fixed"/>
        <w:tblCellMar>
          <w:top w:w="0" w:type="dxa"/>
          <w:left w:w="0" w:type="dxa"/>
          <w:bottom w:w="0" w:type="dxa"/>
          <w:right w:w="0" w:type="dxa"/>
        </w:tblCellMar>
      </w:tblPr>
      <w:tblGrid>
        <w:gridCol w:w="1936"/>
        <w:gridCol w:w="346"/>
        <w:gridCol w:w="1366"/>
        <w:gridCol w:w="361"/>
        <w:gridCol w:w="1156"/>
        <w:gridCol w:w="361"/>
        <w:gridCol w:w="1171"/>
        <w:gridCol w:w="361"/>
        <w:gridCol w:w="1096"/>
        <w:gridCol w:w="31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229360" cy="175260"/>
                      <wp:effectExtent l="0" t="0" r="0" b="0"/>
                      <wp:wrapNone/>
                      <wp:docPr id="189" name="Frame182"/>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19710" cy="175260"/>
                      <wp:effectExtent l="0" t="0" r="0" b="0"/>
                      <wp:wrapNone/>
                      <wp:docPr id="190" name="Frame1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67410" cy="175260"/>
                      <wp:effectExtent l="0" t="0" r="0" b="0"/>
                      <wp:wrapNone/>
                      <wp:docPr id="191" name="Frame184"/>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29235" cy="175260"/>
                      <wp:effectExtent l="0" t="0" r="0" b="0"/>
                      <wp:wrapNone/>
                      <wp:docPr id="192" name="Frame18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34060" cy="175260"/>
                      <wp:effectExtent l="0" t="0" r="0" b="0"/>
                      <wp:wrapNone/>
                      <wp:docPr id="193" name="Frame186"/>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29235" cy="175260"/>
                      <wp:effectExtent l="0" t="0" r="0" b="0"/>
                      <wp:wrapNone/>
                      <wp:docPr id="194" name="Frame18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743585" cy="175260"/>
                      <wp:effectExtent l="0" t="0" r="0" b="0"/>
                      <wp:wrapNone/>
                      <wp:docPr id="195" name="Frame188"/>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29235" cy="175260"/>
                      <wp:effectExtent l="0" t="0" r="0" b="0"/>
                      <wp:wrapNone/>
                      <wp:docPr id="196" name="Frame18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5960" cy="175260"/>
                      <wp:effectExtent l="0" t="0" r="0" b="0"/>
                      <wp:wrapNone/>
                      <wp:docPr id="197" name="Frame190"/>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0660" cy="175260"/>
                      <wp:effectExtent l="0" t="0" r="0" b="0"/>
                      <wp:wrapNone/>
                      <wp:docPr id="198" name="Frame19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 2021 </w:t>
            </w:r>
          </w:p>
        </w:tc>
        <w:tc>
          <w:tcPr>
            <w:tcW w:w="361" w:type="dxa"/>
            <w:tcBorders/>
            <w:vAlign w:val="center"/>
          </w:tcPr>
          <w:p>
            <w:pPr>
              <w:pStyle w:val="TableContents"/>
              <w:bidi w:val="0"/>
              <w:spacing w:before="0" w:after="1"/>
              <w:ind w:left="0" w:right="0" w:hanging="0"/>
              <w:jc w:val="left"/>
              <w:rPr/>
            </w:pPr>
            <w:r>
              <w:rPr/>
              <w:t>  ​ ​ ​</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 2022</w:t>
            </w:r>
          </w:p>
        </w:tc>
        <w:tc>
          <w:tcPr>
            <w:tcW w:w="361" w:type="dxa"/>
            <w:tcBorders/>
            <w:vAlign w:val="center"/>
          </w:tcPr>
          <w:p>
            <w:pPr>
              <w:pStyle w:val="TableContents"/>
              <w:bidi w:val="0"/>
              <w:spacing w:before="0" w:after="1"/>
              <w:ind w:left="0" w:right="0" w:hanging="0"/>
              <w:jc w:val="left"/>
              <w:rPr/>
            </w:pPr>
            <w:r>
              <w:rPr/>
              <w:t>  ​ ​ ​</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 2022</w:t>
            </w:r>
          </w:p>
        </w:tc>
        <w:tc>
          <w:tcPr>
            <w:tcW w:w="361" w:type="dxa"/>
            <w:tcBorders/>
            <w:vAlign w:val="center"/>
          </w:tcPr>
          <w:p>
            <w:pPr>
              <w:pStyle w:val="TableContents"/>
              <w:bidi w:val="0"/>
              <w:spacing w:before="0" w:after="1"/>
              <w:ind w:left="0" w:right="0" w:hanging="0"/>
              <w:jc w:val="left"/>
              <w:rPr/>
            </w:pPr>
            <w:r>
              <w:rPr/>
              <w:t>  ​ ​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Plan 2022</w:t>
            </w:r>
          </w:p>
        </w:tc>
        <w:tc>
          <w:tcPr>
            <w:tcW w:w="316" w:type="dxa"/>
            <w:tcBorders/>
            <w:vAlign w:val="center"/>
          </w:tcPr>
          <w:p>
            <w:pPr>
              <w:pStyle w:val="TableContents"/>
              <w:bidi w:val="0"/>
              <w:spacing w:before="0" w:after="1"/>
              <w:ind w:left="0" w:right="0" w:hanging="0"/>
              <w:jc w:val="center"/>
              <w:rPr/>
            </w:pPr>
            <w:r>
              <w:rPr/>
              <w:t> </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March 24 </w:t>
            </w:r>
          </w:p>
        </w:tc>
        <w:tc>
          <w:tcPr>
            <w:tcW w:w="361" w:type="dxa"/>
            <w:tcBorders/>
            <w:vAlign w:val="center"/>
          </w:tcPr>
          <w:p>
            <w:pPr>
              <w:pStyle w:val="TableContents"/>
              <w:bidi w:val="0"/>
              <w:spacing w:before="0" w:after="1"/>
              <w:ind w:left="0" w:right="0" w:hanging="0"/>
              <w:jc w:val="left"/>
              <w:rPr/>
            </w:pPr>
            <w:r>
              <w:rPr/>
              <w:t>​</w:t>
            </w:r>
          </w:p>
        </w:tc>
        <w:tc>
          <w:tcPr>
            <w:tcW w:w="11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Feb 01 </w:t>
            </w:r>
          </w:p>
        </w:tc>
        <w:tc>
          <w:tcPr>
            <w:tcW w:w="361" w:type="dxa"/>
            <w:tcBorders/>
            <w:vAlign w:val="center"/>
          </w:tcPr>
          <w:p>
            <w:pPr>
              <w:pStyle w:val="TableContents"/>
              <w:bidi w:val="0"/>
              <w:spacing w:before="0" w:after="1"/>
              <w:ind w:left="0" w:right="0" w:hanging="0"/>
              <w:jc w:val="left"/>
              <w:rPr/>
            </w:pPr>
            <w:r>
              <w:rPr/>
              <w:t>​</w:t>
            </w:r>
          </w:p>
        </w:tc>
        <w:tc>
          <w:tcPr>
            <w:tcW w:w="11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Apr 21 </w:t>
            </w:r>
          </w:p>
        </w:tc>
        <w:tc>
          <w:tcPr>
            <w:tcW w:w="361" w:type="dxa"/>
            <w:tcBorders/>
            <w:vAlign w:val="center"/>
          </w:tcPr>
          <w:p>
            <w:pPr>
              <w:pStyle w:val="TableContents"/>
              <w:bidi w:val="0"/>
              <w:spacing w:before="0" w:after="1"/>
              <w:ind w:left="0" w:right="0" w:hanging="0"/>
              <w:jc w:val="left"/>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Aug 2 </w:t>
            </w:r>
          </w:p>
        </w:tc>
        <w:tc>
          <w:tcPr>
            <w:tcW w:w="316" w:type="dxa"/>
            <w:tcBorders/>
            <w:vAlign w:val="center"/>
          </w:tcPr>
          <w:p>
            <w:pPr>
              <w:pStyle w:val="TableContents"/>
              <w:bidi w:val="0"/>
              <w:spacing w:before="0" w:after="1"/>
              <w:ind w:left="0" w:right="0" w:hanging="0"/>
              <w:jc w:val="center"/>
              <w:rPr/>
            </w:pPr>
            <w:r>
              <w:rPr/>
              <w:t> </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3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61" w:type="dxa"/>
            <w:tcBorders/>
            <w:vAlign w:val="center"/>
          </w:tcPr>
          <w:p>
            <w:pPr>
              <w:pStyle w:val="TableContents"/>
              <w:bidi w:val="0"/>
              <w:spacing w:before="0" w:after="1"/>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w:t>
            </w:r>
          </w:p>
        </w:tc>
        <w:tc>
          <w:tcPr>
            <w:tcW w:w="11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1"/>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16" w:type="dxa"/>
            <w:tcBorders/>
            <w:vAlign w:val="center"/>
          </w:tcPr>
          <w:p>
            <w:pPr>
              <w:pStyle w:val="TableContents"/>
              <w:bidi w:val="0"/>
              <w:spacing w:before="0" w:after="1"/>
              <w:ind w:left="0" w:right="0" w:hanging="0"/>
              <w:jc w:val="center"/>
              <w:rPr/>
            </w:pPr>
            <w:r>
              <w:rPr/>
              <w:t> </w:t>
            </w:r>
          </w:p>
        </w:tc>
      </w:tr>
      <w:tr>
        <w:trPr/>
        <w:tc>
          <w:tcPr>
            <w:tcW w:w="19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Return Dividend</w:t>
            </w:r>
          </w:p>
        </w:tc>
        <w:tc>
          <w:tcPr>
            <w:tcW w:w="34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1"/>
              <w:ind w:left="0" w:right="0" w:hanging="0"/>
              <w:jc w:val="left"/>
              <w:rPr/>
            </w:pPr>
            <w:r>
              <w:rPr/>
              <w:t> </w:t>
            </w:r>
          </w:p>
        </w:tc>
        <w:tc>
          <w:tcPr>
            <w:tcW w:w="13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46" w:type="dxa"/>
            <w:tcBorders/>
            <w:vAlign w:val="center"/>
          </w:tcPr>
          <w:p>
            <w:pPr>
              <w:pStyle w:val="TableContents"/>
              <w:bidi w:val="0"/>
              <w:spacing w:before="0" w:after="1"/>
              <w:ind w:left="0" w:right="0" w:hanging="0"/>
              <w:jc w:val="left"/>
              <w:rPr/>
            </w:pPr>
            <w:r>
              <w:rPr/>
              <w:t> </w:t>
            </w:r>
          </w:p>
        </w:tc>
        <w:tc>
          <w:tcPr>
            <w:tcW w:w="13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46" w:type="dxa"/>
            <w:tcBorders/>
            <w:vAlign w:val="center"/>
          </w:tcPr>
          <w:p>
            <w:pPr>
              <w:pStyle w:val="TableContents"/>
              <w:bidi w:val="0"/>
              <w:spacing w:before="0" w:after="1"/>
              <w:ind w:left="0" w:right="0" w:hanging="0"/>
              <w:jc w:val="left"/>
              <w:rPr/>
            </w:pPr>
            <w:r>
              <w:rPr/>
              <w:t> </w:t>
            </w:r>
          </w:p>
        </w:tc>
        <w:tc>
          <w:tcPr>
            <w:tcW w:w="13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w:t>
            </w:r>
          </w:p>
        </w:tc>
        <w:tc>
          <w:tcPr>
            <w:tcW w:w="346" w:type="dxa"/>
            <w:tcBorders/>
            <w:shd w:fill="CCEEFF" w:val="clear"/>
            <w:vAlign w:val="center"/>
          </w:tcPr>
          <w:p>
            <w:pPr>
              <w:pStyle w:val="TableContents"/>
              <w:bidi w:val="0"/>
              <w:spacing w:before="0" w:after="1"/>
              <w:ind w:left="0" w:right="0" w:hanging="0"/>
              <w:jc w:val="left"/>
              <w:rPr/>
            </w:pPr>
            <w:r>
              <w:rPr/>
              <w:t> </w:t>
            </w:r>
          </w:p>
        </w:tc>
        <w:tc>
          <w:tcPr>
            <w:tcW w:w="13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61" w:type="dxa"/>
            <w:tcBorders/>
            <w:shd w:fill="CCEEFF" w:val="clear"/>
            <w:vAlign w:val="center"/>
          </w:tcPr>
          <w:p>
            <w:pPr>
              <w:pStyle w:val="TableContents"/>
              <w:bidi w:val="0"/>
              <w:spacing w:before="0" w:after="1"/>
              <w:ind w:left="0" w:right="0" w:hanging="0"/>
              <w:jc w:val="left"/>
              <w:rPr/>
            </w:pPr>
            <w:r>
              <w:rPr/>
              <w:t> </w:t>
            </w:r>
          </w:p>
        </w:tc>
        <w:tc>
          <w:tcPr>
            <w:tcW w:w="11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61" w:type="dxa"/>
            <w:tcBorders/>
            <w:shd w:fill="CCEEFF" w:val="clear"/>
            <w:vAlign w:val="center"/>
          </w:tcPr>
          <w:p>
            <w:pPr>
              <w:pStyle w:val="TableContents"/>
              <w:bidi w:val="0"/>
              <w:spacing w:before="0" w:after="1"/>
              <w:ind w:left="0" w:right="0" w:hanging="0"/>
              <w:jc w:val="left"/>
              <w:rPr/>
            </w:pPr>
            <w:r>
              <w:rPr/>
              <w:t> </w:t>
            </w:r>
          </w:p>
        </w:tc>
        <w:tc>
          <w:tcPr>
            <w:tcW w:w="11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61"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Incremental Fair value</w:t>
            </w:r>
          </w:p>
        </w:tc>
        <w:tc>
          <w:tcPr>
            <w:tcW w:w="346" w:type="dxa"/>
            <w:tcBorders/>
            <w:vAlign w:val="center"/>
          </w:tcPr>
          <w:p>
            <w:pPr>
              <w:pStyle w:val="TableContents"/>
              <w:bidi w:val="0"/>
              <w:spacing w:before="0" w:after="1"/>
              <w:ind w:left="0" w:right="0" w:hanging="0"/>
              <w:jc w:val="left"/>
              <w:rPr/>
            </w:pPr>
            <w:r>
              <w:rPr/>
              <w:t> </w:t>
            </w:r>
          </w:p>
        </w:tc>
        <w:tc>
          <w:tcPr>
            <w:tcW w:w="13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0.47</w:t>
            </w:r>
          </w:p>
        </w:tc>
        <w:tc>
          <w:tcPr>
            <w:tcW w:w="361" w:type="dxa"/>
            <w:tcBorders/>
            <w:vAlign w:val="center"/>
          </w:tcPr>
          <w:p>
            <w:pPr>
              <w:pStyle w:val="TableContents"/>
              <w:bidi w:val="0"/>
              <w:spacing w:before="0" w:after="1"/>
              <w:ind w:left="0" w:right="0" w:hanging="0"/>
              <w:jc w:val="left"/>
              <w:rPr/>
            </w:pPr>
            <w:r>
              <w:rPr/>
              <w:t> </w:t>
            </w:r>
          </w:p>
        </w:tc>
        <w:tc>
          <w:tcPr>
            <w:tcW w:w="115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0.46</w:t>
            </w:r>
          </w:p>
        </w:tc>
        <w:tc>
          <w:tcPr>
            <w:tcW w:w="361" w:type="dxa"/>
            <w:tcBorders/>
            <w:vAlign w:val="center"/>
          </w:tcPr>
          <w:p>
            <w:pPr>
              <w:pStyle w:val="TableContents"/>
              <w:bidi w:val="0"/>
              <w:spacing w:before="0" w:after="1"/>
              <w:ind w:left="0" w:right="0" w:hanging="0"/>
              <w:jc w:val="left"/>
              <w:rPr/>
            </w:pPr>
            <w:r>
              <w:rPr/>
              <w:t> </w:t>
            </w:r>
          </w:p>
        </w:tc>
        <w:tc>
          <w:tcPr>
            <w:tcW w:w="11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0.55</w:t>
            </w:r>
          </w:p>
        </w:tc>
        <w:tc>
          <w:tcPr>
            <w:tcW w:w="361"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0.53-0.55</w:t>
            </w:r>
          </w:p>
        </w:tc>
        <w:tc>
          <w:tcPr>
            <w:tcW w:w="316"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1112" w:name="Tc_Xh35cvk5CUWYhYDoCIPBug_11_0"/>
      <w:bookmarkStart w:id="1113" w:name="Tc_VcCXRxXB40mpjU5weli7Gw_10_0"/>
      <w:bookmarkStart w:id="1114" w:name="Tc_fjDFZclueU-ZnuZOjqZv4g_9_0"/>
      <w:bookmarkStart w:id="1115" w:name="Tc_M4mSgUagakKI5KWOEMrOVA_8_0"/>
      <w:bookmarkStart w:id="1116" w:name="Tc_LCa73YpGUEe8-11TPwiffA_7_0"/>
      <w:bookmarkStart w:id="1117" w:name="Tc_9eAgzDrc5kyUP9SM3l-8Ow_6_9"/>
      <w:bookmarkStart w:id="1118" w:name="Tc_wbHZATm76EG9VMgtmOUsUA_6_7"/>
      <w:bookmarkStart w:id="1119" w:name="Tc_iTrlDE-5Ik2bPrcOYwyXQA_6_5"/>
      <w:bookmarkStart w:id="1120" w:name="Tc_ruRO4nVWREWoPgogFm__4Q_6_3"/>
      <w:bookmarkStart w:id="1121" w:name="Tc_cVm52MHaf0y3QKH0O7Sqqg_6_0"/>
      <w:bookmarkStart w:id="1122" w:name="Tc_jpWZ5a7I6UGey2JH9gcD2g_5_9"/>
      <w:bookmarkStart w:id="1123" w:name="Tc_HXxtcBUZmE-4LQatipopGg_5_7"/>
      <w:bookmarkStart w:id="1124" w:name="Tc_N1yi7jR03UK3CvhWkjE7bQ_5_5"/>
      <w:bookmarkStart w:id="1125" w:name="Tc_LR0mAlJN8kymK5hUluF7SA_5_3"/>
      <w:bookmarkStart w:id="1126" w:name="Tc_pK2LzfC0S0e7-Xy6jisG9g_5_0"/>
      <w:bookmarkStart w:id="1127" w:name="Tc_MvgcreZ_zkmSlcD9mujwZQ_4_9"/>
      <w:bookmarkStart w:id="1128" w:name="Tc_9aL_UEG2zUGbIWNC2-eW4w_4_7"/>
      <w:bookmarkStart w:id="1129" w:name="Tc_nu0MSfZeuUmQzqsNaLV6ng_4_5"/>
      <w:bookmarkStart w:id="1130" w:name="Tc_obkvfJrJXEectmmCBldLJg_4_3"/>
      <w:bookmarkStart w:id="1131" w:name="Tc_STg31jvVj0GJtRxUeKLmSw_4_0"/>
      <w:bookmarkStart w:id="1132" w:name="Tc_DM96-WjMhEmn8vpvt_1Pdw_3_8"/>
      <w:bookmarkStart w:id="1133" w:name="Tc_7hM89NsnTkWUvaJXm1QJ4w_3_6"/>
      <w:bookmarkStart w:id="1134" w:name="Tc_UHQVRScTSUKReixbXIIccw_3_4"/>
      <w:bookmarkStart w:id="1135" w:name="Tc_aDc7eVemGUeAqWAIBTRvNA_3_2"/>
      <w:bookmarkStart w:id="1136" w:name="Tc_zIfy7Cc6_EStx-AofhbkMg_2_8"/>
      <w:bookmarkStart w:id="1137" w:name="Tc_z65LPOloAUC82Gc80EyDng_2_6"/>
      <w:bookmarkStart w:id="1138" w:name="Tc_wTeob1a_eUqcBOg71K1hng_2_4"/>
      <w:bookmarkStart w:id="1139" w:name="Tc_0uQtXBaBnU6HjVD2qaA9kg_2_2"/>
      <w:bookmarkStart w:id="1140" w:name="Tc_ARQDVIDwwUipMNyraFArAg_1_8"/>
      <w:bookmarkStart w:id="1141" w:name="Tc_bLak4ixiR0yhX1my2NZt_Q_1_6"/>
      <w:bookmarkStart w:id="1142" w:name="Tc_QFZWBLdQdkqGiL2c5Yy_Sw_1_4"/>
      <w:bookmarkStart w:id="1143" w:name="Tc_NeWgNDJ7p0mMSafKvOlHjw_1_2"/>
      <w:bookmarkStart w:id="1144" w:name="_5a8c82e8_a890_417c_bf28_dc82f231fd61"/>
      <w:bookmarkStart w:id="1145" w:name="Tc_MbtogMybC06b9Rz6gEtaVQ_11_0"/>
      <w:bookmarkStart w:id="1146" w:name="Tc_PO5dk0YGTkiG4iv-PWtraA_10_0"/>
      <w:bookmarkStart w:id="1147" w:name="Tc_AxRCwE0xwke3C5xku_YIuw_9_0"/>
      <w:bookmarkStart w:id="1148" w:name="Tc_p8IN4jhHXESAXzsOSc2v0A_8_0"/>
      <w:bookmarkStart w:id="1149" w:name="Tc_vVo-ScsbdESWO1g8aY8y4A_7_0"/>
      <w:bookmarkStart w:id="1150" w:name="Tc_GTOVAAMWgEuhzyVLoDAFkg_6_9"/>
      <w:bookmarkStart w:id="1151" w:name="Tc_Rwf9UahKAky3BM_EwEiDKQ_6_7"/>
      <w:bookmarkStart w:id="1152" w:name="Tc_lqPkqbVCoUWbhOhQiiHrdQ_6_5"/>
      <w:bookmarkStart w:id="1153" w:name="Tc_oZ96R_7h70aIPe0IZ0Wz5A_6_3"/>
      <w:bookmarkStart w:id="1154" w:name="Tc_U6Qwsho6ZkaqOsF0LLap_A_6_0"/>
      <w:bookmarkStart w:id="1155" w:name="Tc_WqlPNN2RW0i9lX4358E4Ag_5_9"/>
      <w:bookmarkStart w:id="1156" w:name="Tc_epc1sbZEPUKJwP6T0b1EAw_5_7"/>
      <w:bookmarkStart w:id="1157" w:name="Tc_iIPdb82hS0aAwkDNnP2Ofw_5_5"/>
      <w:bookmarkStart w:id="1158" w:name="Tc_zRJhKfx0UEejt8AOlswRAA_5_3"/>
      <w:bookmarkStart w:id="1159" w:name="Tc_L8pLVcaMZUSdIVyrjOqrEw_5_0"/>
      <w:bookmarkStart w:id="1160" w:name="Tc_0x1wAgJqckGP2xszWDdd6Q_4_9"/>
      <w:bookmarkStart w:id="1161" w:name="Tc_7XUcLYI_ek2zGbpkysieXw_4_7"/>
      <w:bookmarkStart w:id="1162" w:name="Tc_gFBATSxytUqfdvSIxjhCIQ_4_5"/>
      <w:bookmarkStart w:id="1163" w:name="Tc_1rY8CbC8802czb49MQUSzQ_4_3"/>
      <w:bookmarkStart w:id="1164" w:name="Tc_RoqSbuxQS0C1Sg_EnOdQVA_4_0"/>
      <w:bookmarkStart w:id="1165" w:name="Tc_wFCG0J6Ze0a1ze5C_lgkyQ_3_8"/>
      <w:bookmarkStart w:id="1166" w:name="Tc_i6IKTHh930-OkIAH8foNYA_3_6"/>
      <w:bookmarkStart w:id="1167" w:name="Tc_joQveTx4eUeKRcmOeNrxmA_3_4"/>
      <w:bookmarkStart w:id="1168" w:name="Tc_qdoWvtdXwkiMtAHNZLGZsQ_3_2"/>
      <w:bookmarkStart w:id="1169" w:name="Tc_19F9uFfLrEiOAsyvD_aB-g_2_8"/>
      <w:bookmarkStart w:id="1170" w:name="Tc_3FTVwzMoXUWImMMrJw9dsA_2_6"/>
      <w:bookmarkStart w:id="1171" w:name="Tc_ra3Xi7A8P0u2VtYo2ncuUQ_2_4"/>
      <w:bookmarkStart w:id="1172" w:name="Tc_Q6V8fXZMAEyuTwR9EQ3p5A_2_2"/>
      <w:bookmarkStart w:id="1173" w:name="Tc_FfyLaYtB8ECh1J0fVUMLDA_1_8"/>
      <w:bookmarkStart w:id="1174" w:name="Tc_45j7X6XWhEaZh0saLrApjw_1_6"/>
      <w:bookmarkStart w:id="1175" w:name="Tc_kPo5I4gHKU-AQtJ8XoCxaQ_1_4"/>
      <w:bookmarkStart w:id="1176" w:name="Tc_C48P9H9XREeiL_3Wqev8yA_1_2"/>
      <w:bookmarkStart w:id="1177" w:name="_05231a06_4862_4070_a3e8_4363b19f3695"/>
      <w:bookmarkStart w:id="1178" w:name="Tc_vh5PgAS0GEafuXN6cmLxIg_11_0"/>
      <w:bookmarkStart w:id="1179" w:name="Tc_httQ8nTceEmbOnRCyQLbKw_10_0"/>
      <w:bookmarkStart w:id="1180" w:name="Tc_XrSjmZqTQ0-tjEnNOH0x7Q_9_0"/>
      <w:bookmarkStart w:id="1181" w:name="Tc_-bD7bzGTzEKa5luJ5Bu4nQ_8_0"/>
      <w:bookmarkStart w:id="1182" w:name="Tc_aXn_v_csy0ywfLgGwqDpXw_7_0"/>
      <w:bookmarkStart w:id="1183" w:name="Tc_OrMiS0xlUEelnN48BTSJbA_6_9"/>
      <w:bookmarkStart w:id="1184" w:name="Tc_aBx6guoDjEep4aEx2UYsVA_6_7"/>
      <w:bookmarkStart w:id="1185" w:name="Tc_x_PYi-Nqg06B2gultxGYRg_6_5"/>
      <w:bookmarkStart w:id="1186" w:name="Tc_iPrBCnuRiEauTm-jidyyIA_6_3"/>
      <w:bookmarkStart w:id="1187" w:name="Tc_eHi95q21l02VYj9MscOExQ_6_0"/>
      <w:bookmarkStart w:id="1188" w:name="Tc_Uz7WLjcIm0aXzTXOuDTn-Q_5_9"/>
      <w:bookmarkStart w:id="1189" w:name="Tc_Tvi18NkG6k6u_C-HhQI6jA_5_7"/>
      <w:bookmarkStart w:id="1190" w:name="Tc_uF_qFdLwCEGm_cZ4WM1zjg_5_5"/>
      <w:bookmarkStart w:id="1191" w:name="Tc_k8mjIymIlU-emY9IBppv3A_5_3"/>
      <w:bookmarkStart w:id="1192" w:name="Tc_ad6e9mWIFEWETCxhcS_08Q_5_0"/>
      <w:bookmarkStart w:id="1193" w:name="Tc_OEqs6X6bRUqiF7yXr_FCcg_4_9"/>
      <w:bookmarkStart w:id="1194" w:name="Tc_rdGFSCeBJkaTqD3UTN-Dhw_4_7"/>
      <w:bookmarkStart w:id="1195" w:name="Tc_-0ecEa69IESkhBiRziJRVw_4_5"/>
      <w:bookmarkStart w:id="1196" w:name="Tc_2hFv3ZTBy0S0i3bilxU62g_4_3"/>
      <w:bookmarkStart w:id="1197" w:name="Tc_X8ZcJys8oE2QqvPu65s6dA_4_0"/>
      <w:bookmarkStart w:id="1198" w:name="Tc_-G8E66Bf5UeOJ9ko8CarNw_3_8"/>
      <w:bookmarkStart w:id="1199" w:name="Tc_KtHk0e9xVUSy2uo56hkyjA_3_6"/>
      <w:bookmarkStart w:id="1200" w:name="Tc_4ZBaXLSb3UWJAmKSpTipzQ_3_4"/>
      <w:bookmarkStart w:id="1201" w:name="Tc_iHAFKr1bAkWkdpwzObUKCA_3_2"/>
      <w:bookmarkStart w:id="1202" w:name="Tc_rOCeSdhHAEmHfrxHuqbXgw_2_8"/>
      <w:bookmarkStart w:id="1203" w:name="Tc_nYfnu6VHbE23CPiatJ0Ltg_2_6"/>
      <w:bookmarkStart w:id="1204" w:name="Tc_t1bD_xguQUiKlJWs02SxYQ_2_4"/>
      <w:bookmarkStart w:id="1205" w:name="Tc_VmZ0h2hszUO564KkO6rtog_2_2"/>
      <w:bookmarkStart w:id="1206" w:name="Tc_S35YMox4_UqOhi3icbTZYQ_1_8"/>
      <w:bookmarkStart w:id="1207" w:name="Tc_ePTBQ2zZxUiiEXK0fKKoQQ_1_6"/>
      <w:bookmarkStart w:id="1208" w:name="Tc_jTNU_dC3rkGZXiX3EnoWhQ_1_4"/>
      <w:bookmarkStart w:id="1209" w:name="Tc__fRuDJpfbECc1imVkziCKw_1_2"/>
      <w:bookmarkStart w:id="1210" w:name="_8654f886_5582_4901_8a43_a4f19a1d6776"/>
      <w:bookmarkStart w:id="1211" w:name="Tc_Xh35cvk5CUWYhYDoCIPBug_11_0"/>
      <w:bookmarkStart w:id="1212" w:name="Tc_VcCXRxXB40mpjU5weli7Gw_10_0"/>
      <w:bookmarkStart w:id="1213" w:name="Tc_fjDFZclueU-ZnuZOjqZv4g_9_0"/>
      <w:bookmarkStart w:id="1214" w:name="Tc_M4mSgUagakKI5KWOEMrOVA_8_0"/>
      <w:bookmarkStart w:id="1215" w:name="Tc_LCa73YpGUEe8-11TPwiffA_7_0"/>
      <w:bookmarkStart w:id="1216" w:name="Tc_9eAgzDrc5kyUP9SM3l-8Ow_6_9"/>
      <w:bookmarkStart w:id="1217" w:name="Tc_wbHZATm76EG9VMgtmOUsUA_6_7"/>
      <w:bookmarkStart w:id="1218" w:name="Tc_iTrlDE-5Ik2bPrcOYwyXQA_6_5"/>
      <w:bookmarkStart w:id="1219" w:name="Tc_ruRO4nVWREWoPgogFm__4Q_6_3"/>
      <w:bookmarkStart w:id="1220" w:name="Tc_cVm52MHaf0y3QKH0O7Sqqg_6_0"/>
      <w:bookmarkStart w:id="1221" w:name="Tc_jpWZ5a7I6UGey2JH9gcD2g_5_9"/>
      <w:bookmarkStart w:id="1222" w:name="Tc_HXxtcBUZmE-4LQatipopGg_5_7"/>
      <w:bookmarkStart w:id="1223" w:name="Tc_N1yi7jR03UK3CvhWkjE7bQ_5_5"/>
      <w:bookmarkStart w:id="1224" w:name="Tc_LR0mAlJN8kymK5hUluF7SA_5_3"/>
      <w:bookmarkStart w:id="1225" w:name="Tc_pK2LzfC0S0e7-Xy6jisG9g_5_0"/>
      <w:bookmarkStart w:id="1226" w:name="Tc_MvgcreZ_zkmSlcD9mujwZQ_4_9"/>
      <w:bookmarkStart w:id="1227" w:name="Tc_9aL_UEG2zUGbIWNC2-eW4w_4_7"/>
      <w:bookmarkStart w:id="1228" w:name="Tc_nu0MSfZeuUmQzqsNaLV6ng_4_5"/>
      <w:bookmarkStart w:id="1229" w:name="Tc_obkvfJrJXEectmmCBldLJg_4_3"/>
      <w:bookmarkStart w:id="1230" w:name="Tc_STg31jvVj0GJtRxUeKLmSw_4_0"/>
      <w:bookmarkStart w:id="1231" w:name="Tc_DM96-WjMhEmn8vpvt_1Pdw_3_8"/>
      <w:bookmarkStart w:id="1232" w:name="Tc_7hM89NsnTkWUvaJXm1QJ4w_3_6"/>
      <w:bookmarkStart w:id="1233" w:name="Tc_UHQVRScTSUKReixbXIIccw_3_4"/>
      <w:bookmarkStart w:id="1234" w:name="Tc_aDc7eVemGUeAqWAIBTRvNA_3_2"/>
      <w:bookmarkStart w:id="1235" w:name="Tc_zIfy7Cc6_EStx-AofhbkMg_2_8"/>
      <w:bookmarkStart w:id="1236" w:name="Tc_z65LPOloAUC82Gc80EyDng_2_6"/>
      <w:bookmarkStart w:id="1237" w:name="Tc_wTeob1a_eUqcBOg71K1hng_2_4"/>
      <w:bookmarkStart w:id="1238" w:name="Tc_0uQtXBaBnU6HjVD2qaA9kg_2_2"/>
      <w:bookmarkStart w:id="1239" w:name="Tc_ARQDVIDwwUipMNyraFArAg_1_8"/>
      <w:bookmarkStart w:id="1240" w:name="Tc_bLak4ixiR0yhX1my2NZt_Q_1_6"/>
      <w:bookmarkStart w:id="1241" w:name="Tc_QFZWBLdQdkqGiL2c5Yy_Sw_1_4"/>
      <w:bookmarkStart w:id="1242" w:name="Tc_NeWgNDJ7p0mMSafKvOlHjw_1_2"/>
      <w:bookmarkStart w:id="1243" w:name="_5a8c82e8_a890_417c_bf28_dc82f231fd61"/>
      <w:bookmarkStart w:id="1244" w:name="Tc_MbtogMybC06b9Rz6gEtaVQ_11_0"/>
      <w:bookmarkStart w:id="1245" w:name="Tc_PO5dk0YGTkiG4iv-PWtraA_10_0"/>
      <w:bookmarkStart w:id="1246" w:name="Tc_AxRCwE0xwke3C5xku_YIuw_9_0"/>
      <w:bookmarkStart w:id="1247" w:name="Tc_p8IN4jhHXESAXzsOSc2v0A_8_0"/>
      <w:bookmarkStart w:id="1248" w:name="Tc_vVo-ScsbdESWO1g8aY8y4A_7_0"/>
      <w:bookmarkStart w:id="1249" w:name="Tc_GTOVAAMWgEuhzyVLoDAFkg_6_9"/>
      <w:bookmarkStart w:id="1250" w:name="Tc_Rwf9UahKAky3BM_EwEiDKQ_6_7"/>
      <w:bookmarkStart w:id="1251" w:name="Tc_lqPkqbVCoUWbhOhQiiHrdQ_6_5"/>
      <w:bookmarkStart w:id="1252" w:name="Tc_oZ96R_7h70aIPe0IZ0Wz5A_6_3"/>
      <w:bookmarkStart w:id="1253" w:name="Tc_U6Qwsho6ZkaqOsF0LLap_A_6_0"/>
      <w:bookmarkStart w:id="1254" w:name="Tc_WqlPNN2RW0i9lX4358E4Ag_5_9"/>
      <w:bookmarkStart w:id="1255" w:name="Tc_epc1sbZEPUKJwP6T0b1EAw_5_7"/>
      <w:bookmarkStart w:id="1256" w:name="Tc_iIPdb82hS0aAwkDNnP2Ofw_5_5"/>
      <w:bookmarkStart w:id="1257" w:name="Tc_zRJhKfx0UEejt8AOlswRAA_5_3"/>
      <w:bookmarkStart w:id="1258" w:name="Tc_L8pLVcaMZUSdIVyrjOqrEw_5_0"/>
      <w:bookmarkStart w:id="1259" w:name="Tc_0x1wAgJqckGP2xszWDdd6Q_4_9"/>
      <w:bookmarkStart w:id="1260" w:name="Tc_7XUcLYI_ek2zGbpkysieXw_4_7"/>
      <w:bookmarkStart w:id="1261" w:name="Tc_gFBATSxytUqfdvSIxjhCIQ_4_5"/>
      <w:bookmarkStart w:id="1262" w:name="Tc_1rY8CbC8802czb49MQUSzQ_4_3"/>
      <w:bookmarkStart w:id="1263" w:name="Tc_RoqSbuxQS0C1Sg_EnOdQVA_4_0"/>
      <w:bookmarkStart w:id="1264" w:name="Tc_wFCG0J6Ze0a1ze5C_lgkyQ_3_8"/>
      <w:bookmarkStart w:id="1265" w:name="Tc_i6IKTHh930-OkIAH8foNYA_3_6"/>
      <w:bookmarkStart w:id="1266" w:name="Tc_joQveTx4eUeKRcmOeNrxmA_3_4"/>
      <w:bookmarkStart w:id="1267" w:name="Tc_qdoWvtdXwkiMtAHNZLGZsQ_3_2"/>
      <w:bookmarkStart w:id="1268" w:name="Tc_19F9uFfLrEiOAsyvD_aB-g_2_8"/>
      <w:bookmarkStart w:id="1269" w:name="Tc_3FTVwzMoXUWImMMrJw9dsA_2_6"/>
      <w:bookmarkStart w:id="1270" w:name="Tc_ra3Xi7A8P0u2VtYo2ncuUQ_2_4"/>
      <w:bookmarkStart w:id="1271" w:name="Tc_Q6V8fXZMAEyuTwR9EQ3p5A_2_2"/>
      <w:bookmarkStart w:id="1272" w:name="Tc_FfyLaYtB8ECh1J0fVUMLDA_1_8"/>
      <w:bookmarkStart w:id="1273" w:name="Tc_45j7X6XWhEaZh0saLrApjw_1_6"/>
      <w:bookmarkStart w:id="1274" w:name="Tc_kPo5I4gHKU-AQtJ8XoCxaQ_1_4"/>
      <w:bookmarkStart w:id="1275" w:name="Tc_C48P9H9XREeiL_3Wqev8yA_1_2"/>
      <w:bookmarkStart w:id="1276" w:name="_05231a06_4862_4070_a3e8_4363b19f3695"/>
      <w:bookmarkStart w:id="1277" w:name="Tc_vh5PgAS0GEafuXN6cmLxIg_11_0"/>
      <w:bookmarkStart w:id="1278" w:name="Tc_httQ8nTceEmbOnRCyQLbKw_10_0"/>
      <w:bookmarkStart w:id="1279" w:name="Tc_XrSjmZqTQ0-tjEnNOH0x7Q_9_0"/>
      <w:bookmarkStart w:id="1280" w:name="Tc_-bD7bzGTzEKa5luJ5Bu4nQ_8_0"/>
      <w:bookmarkStart w:id="1281" w:name="Tc_aXn_v_csy0ywfLgGwqDpXw_7_0"/>
      <w:bookmarkStart w:id="1282" w:name="Tc_OrMiS0xlUEelnN48BTSJbA_6_9"/>
      <w:bookmarkStart w:id="1283" w:name="Tc_aBx6guoDjEep4aEx2UYsVA_6_7"/>
      <w:bookmarkStart w:id="1284" w:name="Tc_x_PYi-Nqg06B2gultxGYRg_6_5"/>
      <w:bookmarkStart w:id="1285" w:name="Tc_iPrBCnuRiEauTm-jidyyIA_6_3"/>
      <w:bookmarkStart w:id="1286" w:name="Tc_eHi95q21l02VYj9MscOExQ_6_0"/>
      <w:bookmarkStart w:id="1287" w:name="Tc_Uz7WLjcIm0aXzTXOuDTn-Q_5_9"/>
      <w:bookmarkStart w:id="1288" w:name="Tc_Tvi18NkG6k6u_C-HhQI6jA_5_7"/>
      <w:bookmarkStart w:id="1289" w:name="Tc_uF_qFdLwCEGm_cZ4WM1zjg_5_5"/>
      <w:bookmarkStart w:id="1290" w:name="Tc_k8mjIymIlU-emY9IBppv3A_5_3"/>
      <w:bookmarkStart w:id="1291" w:name="Tc_ad6e9mWIFEWETCxhcS_08Q_5_0"/>
      <w:bookmarkStart w:id="1292" w:name="Tc_OEqs6X6bRUqiF7yXr_FCcg_4_9"/>
      <w:bookmarkStart w:id="1293" w:name="Tc_rdGFSCeBJkaTqD3UTN-Dhw_4_7"/>
      <w:bookmarkStart w:id="1294" w:name="Tc_-0ecEa69IESkhBiRziJRVw_4_5"/>
      <w:bookmarkStart w:id="1295" w:name="Tc_2hFv3ZTBy0S0i3bilxU62g_4_3"/>
      <w:bookmarkStart w:id="1296" w:name="Tc_X8ZcJys8oE2QqvPu65s6dA_4_0"/>
      <w:bookmarkStart w:id="1297" w:name="Tc_-G8E66Bf5UeOJ9ko8CarNw_3_8"/>
      <w:bookmarkStart w:id="1298" w:name="Tc_KtHk0e9xVUSy2uo56hkyjA_3_6"/>
      <w:bookmarkStart w:id="1299" w:name="Tc_4ZBaXLSb3UWJAmKSpTipzQ_3_4"/>
      <w:bookmarkStart w:id="1300" w:name="Tc_iHAFKr1bAkWkdpwzObUKCA_3_2"/>
      <w:bookmarkStart w:id="1301" w:name="Tc_rOCeSdhHAEmHfrxHuqbXgw_2_8"/>
      <w:bookmarkStart w:id="1302" w:name="Tc_nYfnu6VHbE23CPiatJ0Ltg_2_6"/>
      <w:bookmarkStart w:id="1303" w:name="Tc_t1bD_xguQUiKlJWs02SxYQ_2_4"/>
      <w:bookmarkStart w:id="1304" w:name="Tc_VmZ0h2hszUO564KkO6rtog_2_2"/>
      <w:bookmarkStart w:id="1305" w:name="Tc_S35YMox4_UqOhi3icbTZYQ_1_8"/>
      <w:bookmarkStart w:id="1306" w:name="Tc_ePTBQ2zZxUiiEXK0fKKoQQ_1_6"/>
      <w:bookmarkStart w:id="1307" w:name="Tc_jTNU_dC3rkGZXiX3EnoWhQ_1_4"/>
      <w:bookmarkStart w:id="1308" w:name="Tc__fRuDJpfbECc1imVkziCKw_1_2"/>
      <w:bookmarkStart w:id="1309" w:name="_8654f886_5582_4901_8a43_a4f19a1d6776"/>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p>
    <w:tbl>
      <w:tblPr>
        <w:tblW w:w="8020" w:type="dxa"/>
        <w:jc w:val="left"/>
        <w:tblInd w:w="0" w:type="dxa"/>
        <w:tblLayout w:type="fixed"/>
        <w:tblCellMar>
          <w:top w:w="0" w:type="dxa"/>
          <w:left w:w="0" w:type="dxa"/>
          <w:bottom w:w="0" w:type="dxa"/>
          <w:right w:w="0" w:type="dxa"/>
        </w:tblCellMar>
      </w:tblPr>
      <w:tblGrid>
        <w:gridCol w:w="1936"/>
        <w:gridCol w:w="346"/>
        <w:gridCol w:w="1156"/>
        <w:gridCol w:w="361"/>
        <w:gridCol w:w="1141"/>
        <w:gridCol w:w="361"/>
        <w:gridCol w:w="1021"/>
        <w:gridCol w:w="361"/>
        <w:gridCol w:w="1021"/>
        <w:gridCol w:w="31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1229360" cy="175260"/>
                      <wp:effectExtent l="0" t="0" r="0" b="0"/>
                      <wp:wrapNone/>
                      <wp:docPr id="199" name="Frame192"/>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19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734060" cy="175260"/>
                      <wp:effectExtent l="0" t="0" r="0" b="0"/>
                      <wp:wrapNone/>
                      <wp:docPr id="201" name="Frame194"/>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9235" cy="175260"/>
                      <wp:effectExtent l="0" t="0" r="0" b="0"/>
                      <wp:wrapNone/>
                      <wp:docPr id="202" name="Frame19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724535" cy="175260"/>
                      <wp:effectExtent l="0" t="0" r="0" b="0"/>
                      <wp:wrapNone/>
                      <wp:docPr id="203" name="Frame19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29235" cy="175260"/>
                      <wp:effectExtent l="0" t="0" r="0" b="0"/>
                      <wp:wrapNone/>
                      <wp:docPr id="204" name="Frame19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335" cy="175260"/>
                      <wp:effectExtent l="0" t="0" r="0" b="0"/>
                      <wp:wrapNone/>
                      <wp:docPr id="205" name="Frame198"/>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29235" cy="175260"/>
                      <wp:effectExtent l="0" t="0" r="0" b="0"/>
                      <wp:wrapNone/>
                      <wp:docPr id="206" name="Frame19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335" cy="175260"/>
                      <wp:effectExtent l="0" t="0" r="0" b="0"/>
                      <wp:wrapNone/>
                      <wp:docPr id="207" name="Frame200"/>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0660" cy="175260"/>
                      <wp:effectExtent l="0" t="0" r="0" b="0"/>
                      <wp:wrapNone/>
                      <wp:docPr id="208" name="Frame20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2024</w:t>
            </w:r>
          </w:p>
        </w:tc>
        <w:tc>
          <w:tcPr>
            <w:tcW w:w="361"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2024</w:t>
            </w:r>
          </w:p>
        </w:tc>
        <w:tc>
          <w:tcPr>
            <w:tcW w:w="361"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2024</w:t>
            </w:r>
          </w:p>
        </w:tc>
        <w:tc>
          <w:tcPr>
            <w:tcW w:w="361" w:type="dxa"/>
            <w:tcBorders/>
            <w:vAlign w:val="center"/>
          </w:tcPr>
          <w:p>
            <w:pPr>
              <w:pStyle w:val="TableContents"/>
              <w:bidi w:val="0"/>
              <w:spacing w:before="0" w:after="0"/>
              <w:ind w:left="0" w:right="0" w:hanging="0"/>
              <w:jc w:val="left"/>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2025</w:t>
            </w:r>
          </w:p>
        </w:tc>
        <w:tc>
          <w:tcPr>
            <w:tcW w:w="316" w:type="dxa"/>
            <w:tcBorders/>
            <w:vAlign w:val="center"/>
          </w:tcPr>
          <w:p>
            <w:pPr>
              <w:pStyle w:val="TableContents"/>
              <w:bidi w:val="0"/>
              <w:spacing w:before="0" w:after="0"/>
              <w:ind w:left="0" w:right="0" w:hanging="0"/>
              <w:jc w:val="center"/>
              <w:rPr/>
            </w:pPr>
            <w:r>
              <w:rPr/>
              <w:t> </w: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Sept 18</w:t>
            </w:r>
          </w:p>
        </w:tc>
        <w:tc>
          <w:tcPr>
            <w:tcW w:w="36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Nov 25</w:t>
            </w:r>
          </w:p>
        </w:tc>
        <w:tc>
          <w:tcPr>
            <w:tcW w:w="361"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Feb 1</w:t>
            </w:r>
          </w:p>
        </w:tc>
        <w:tc>
          <w:tcPr>
            <w:tcW w:w="361"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Feb 1</w:t>
            </w:r>
          </w:p>
        </w:tc>
        <w:tc>
          <w:tcPr>
            <w:tcW w:w="316" w:type="dxa"/>
            <w:tcBorders/>
            <w:vAlign w:val="center"/>
          </w:tcPr>
          <w:p>
            <w:pPr>
              <w:pStyle w:val="TableContents"/>
              <w:bidi w:val="0"/>
              <w:spacing w:before="0" w:after="0"/>
              <w:ind w:left="0" w:right="0" w:hanging="0"/>
              <w:jc w:val="center"/>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61"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center"/>
              <w:rPr/>
            </w:pPr>
            <w:r>
              <w:rPr/>
              <w:t> </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Dividend</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pPr>
            <w:r>
              <w:rPr/>
              <w:t>​</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4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vAlign w:val="center"/>
          </w:tcPr>
          <w:p>
            <w:pPr>
              <w:pStyle w:val="TableContents"/>
              <w:bidi w:val="0"/>
              <w:spacing w:before="0" w:after="0"/>
              <w:ind w:left="0" w:right="0" w:hanging="0"/>
              <w:jc w:val="left"/>
              <w:rPr/>
            </w:pPr>
            <w:r>
              <w:rPr/>
              <w:t>​</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w:t>
            </w:r>
          </w:p>
        </w:tc>
        <w:tc>
          <w:tcPr>
            <w:tcW w:w="34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6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61"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61"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Fair value</w:t>
            </w:r>
          </w:p>
        </w:tc>
        <w:tc>
          <w:tcPr>
            <w:tcW w:w="34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36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0.53</w:t>
            </w:r>
          </w:p>
        </w:tc>
        <w:tc>
          <w:tcPr>
            <w:tcW w:w="361"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w:t>
            </w:r>
          </w:p>
        </w:tc>
        <w:tc>
          <w:tcPr>
            <w:tcW w:w="361"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0.56</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tbl>
      <w:tblPr>
        <w:tblW w:w="8065" w:type="dxa"/>
        <w:jc w:val="left"/>
        <w:tblInd w:w="0" w:type="dxa"/>
        <w:tblLayout w:type="fixed"/>
        <w:tblCellMar>
          <w:top w:w="0" w:type="dxa"/>
          <w:left w:w="0" w:type="dxa"/>
          <w:bottom w:w="0" w:type="dxa"/>
          <w:right w:w="0" w:type="dxa"/>
        </w:tblCellMar>
      </w:tblPr>
      <w:tblGrid>
        <w:gridCol w:w="1936"/>
        <w:gridCol w:w="346"/>
        <w:gridCol w:w="1201"/>
        <w:gridCol w:w="361"/>
        <w:gridCol w:w="1036"/>
        <w:gridCol w:w="361"/>
        <w:gridCol w:w="1081"/>
        <w:gridCol w:w="361"/>
        <w:gridCol w:w="1066"/>
        <w:gridCol w:w="31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229360" cy="175260"/>
                      <wp:effectExtent l="0" t="0" r="0" b="0"/>
                      <wp:wrapNone/>
                      <wp:docPr id="209" name="Frame202"/>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762635" cy="175260"/>
                      <wp:effectExtent l="0" t="0" r="0" b="0"/>
                      <wp:wrapNone/>
                      <wp:docPr id="211" name="Frame20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29235" cy="175260"/>
                      <wp:effectExtent l="0" t="0" r="0" b="0"/>
                      <wp:wrapNone/>
                      <wp:docPr id="212" name="Frame20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57860" cy="175260"/>
                      <wp:effectExtent l="0" t="0" r="0" b="0"/>
                      <wp:wrapNone/>
                      <wp:docPr id="213" name="Frame20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29235" cy="175260"/>
                      <wp:effectExtent l="0" t="0" r="0" b="0"/>
                      <wp:wrapNone/>
                      <wp:docPr id="214" name="Frame20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86435" cy="175260"/>
                      <wp:effectExtent l="0" t="0" r="0" b="0"/>
                      <wp:wrapNone/>
                      <wp:docPr id="215" name="Frame208"/>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29235" cy="175260"/>
                      <wp:effectExtent l="0" t="0" r="0" b="0"/>
                      <wp:wrapNone/>
                      <wp:docPr id="216" name="Frame20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76910" cy="175260"/>
                      <wp:effectExtent l="0" t="0" r="0" b="0"/>
                      <wp:wrapNone/>
                      <wp:docPr id="217" name="Frame21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00660" cy="175260"/>
                      <wp:effectExtent l="0" t="0" r="0" b="0"/>
                      <wp:wrapNone/>
                      <wp:docPr id="218" name="Frame21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2025</w:t>
            </w:r>
          </w:p>
        </w:tc>
        <w:tc>
          <w:tcPr>
            <w:tcW w:w="361" w:type="dxa"/>
            <w:tcBorders/>
            <w:vAlign w:val="center"/>
          </w:tcPr>
          <w:p>
            <w:pPr>
              <w:pStyle w:val="TableContents"/>
              <w:bidi w:val="0"/>
              <w:spacing w:before="0" w:after="0"/>
              <w:ind w:left="0" w:right="0" w:hanging="0"/>
              <w:jc w:val="left"/>
              <w:rPr/>
            </w:pPr>
            <w:r>
              <w:rPr/>
              <w:t>  ​ ​ ​</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2025</w:t>
            </w:r>
          </w:p>
        </w:tc>
        <w:tc>
          <w:tcPr>
            <w:tcW w:w="361" w:type="dxa"/>
            <w:tcBorders/>
            <w:vAlign w:val="center"/>
          </w:tcPr>
          <w:p>
            <w:pPr>
              <w:pStyle w:val="TableContents"/>
              <w:bidi w:val="0"/>
              <w:spacing w:before="0" w:after="0"/>
              <w:ind w:left="0" w:right="0" w:hanging="0"/>
              <w:jc w:val="left"/>
              <w:rPr/>
            </w:pPr>
            <w:r>
              <w:rPr/>
              <w:t>  ​ ​ ​</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Plan 2025</w:t>
            </w:r>
          </w:p>
        </w:tc>
        <w:tc>
          <w:tcPr>
            <w:tcW w:w="361" w:type="dxa"/>
            <w:tcBorders/>
            <w:vAlign w:val="center"/>
          </w:tcPr>
          <w:p>
            <w:pPr>
              <w:pStyle w:val="TableContents"/>
              <w:bidi w:val="0"/>
              <w:spacing w:before="0" w:after="0"/>
              <w:ind w:left="0" w:right="0" w:hanging="0"/>
              <w:jc w:val="left"/>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 Plan</w:t>
            </w:r>
          </w:p>
        </w:tc>
        <w:tc>
          <w:tcPr>
            <w:tcW w:w="316" w:type="dxa"/>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Mar 14 </w:t>
            </w:r>
          </w:p>
        </w:tc>
        <w:tc>
          <w:tcPr>
            <w:tcW w:w="36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Apr 8</w:t>
            </w:r>
          </w:p>
        </w:tc>
        <w:tc>
          <w:tcPr>
            <w:tcW w:w="36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May 5</w:t>
            </w:r>
          </w:p>
        </w:tc>
        <w:tc>
          <w:tcPr>
            <w:tcW w:w="36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Sept 6</w:t>
            </w:r>
          </w:p>
        </w:tc>
        <w:tc>
          <w:tcPr>
            <w:tcW w:w="316" w:type="dxa"/>
            <w:tcBorders/>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2025)</w:t>
            </w:r>
          </w:p>
        </w:tc>
        <w:tc>
          <w:tcPr>
            <w:tcW w:w="361"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2025)</w:t>
            </w:r>
          </w:p>
        </w:tc>
        <w:tc>
          <w:tcPr>
            <w:tcW w:w="316" w:type="dxa"/>
            <w:tcBorders/>
            <w:vAlign w:val="center"/>
          </w:tcPr>
          <w:p>
            <w:pPr>
              <w:pStyle w:val="TableContents"/>
              <w:bidi w:val="0"/>
              <w:spacing w:before="0" w:after="0"/>
              <w:ind w:left="0" w:right="0" w:hanging="0"/>
              <w:jc w:val="left"/>
              <w:rPr/>
            </w:pPr>
            <w:r>
              <w:rPr/>
              <w:t> </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Dividend</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68.59</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0"/>
              <w:ind w:left="0" w:right="0" w:hanging="0"/>
              <w:jc w:val="left"/>
              <w:rPr/>
            </w:pPr>
            <w:r>
              <w:rPr/>
              <w:t> </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shd w:fill="CCEEFF" w:val="clear"/>
            <w:vAlign w:val="center"/>
          </w:tcPr>
          <w:p>
            <w:pPr>
              <w:pStyle w:val="TableContents"/>
              <w:bidi w:val="0"/>
              <w:spacing w:before="0" w:after="0"/>
              <w:ind w:left="0" w:right="0" w:hanging="0"/>
              <w:jc w:val="left"/>
              <w:rPr/>
            </w:pPr>
            <w:r>
              <w:rPr/>
              <w:t> </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4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vAlign w:val="center"/>
          </w:tcPr>
          <w:p>
            <w:pPr>
              <w:pStyle w:val="TableContents"/>
              <w:bidi w:val="0"/>
              <w:spacing w:before="0" w:after="0"/>
              <w:ind w:left="0" w:right="0" w:hanging="0"/>
              <w:jc w:val="left"/>
              <w:rPr/>
            </w:pPr>
            <w:r>
              <w:rPr/>
              <w:t> </w:t>
            </w:r>
          </w:p>
        </w:tc>
      </w:tr>
      <w:tr>
        <w:trPr/>
        <w:tc>
          <w:tcPr>
            <w:tcW w:w="19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w:t>
            </w:r>
          </w:p>
        </w:tc>
        <w:tc>
          <w:tcPr>
            <w:tcW w:w="34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61"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0.60</w:t>
            </w:r>
          </w:p>
        </w:tc>
        <w:tc>
          <w:tcPr>
            <w:tcW w:w="361"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0.61</w:t>
            </w:r>
          </w:p>
        </w:tc>
        <w:tc>
          <w:tcPr>
            <w:tcW w:w="361"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0.65</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Fair value</w:t>
            </w:r>
          </w:p>
        </w:tc>
        <w:tc>
          <w:tcPr>
            <w:tcW w:w="34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0.56</w:t>
            </w:r>
          </w:p>
        </w:tc>
        <w:tc>
          <w:tcPr>
            <w:tcW w:w="36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0.52</w:t>
            </w:r>
          </w:p>
        </w:tc>
        <w:tc>
          <w:tcPr>
            <w:tcW w:w="361"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0.48</w:t>
            </w:r>
          </w:p>
        </w:tc>
        <w:tc>
          <w:tcPr>
            <w:tcW w:w="361" w:type="dxa"/>
            <w:tcBorders/>
            <w:vAlign w:val="center"/>
          </w:tcPr>
          <w:p>
            <w:pPr>
              <w:pStyle w:val="TableContents"/>
              <w:bidi w:val="0"/>
              <w:spacing w:before="0" w:after="0"/>
              <w:ind w:left="0" w:right="0" w:hanging="0"/>
              <w:jc w:val="left"/>
              <w:rPr/>
            </w:pPr>
            <w:r>
              <w:rPr/>
              <w:t>​</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0.45</w:t>
            </w:r>
          </w:p>
        </w:tc>
        <w:tc>
          <w:tcPr>
            <w:tcW w:w="316"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tbl>
      <w:tblPr>
        <w:tblW w:w="8080" w:type="dxa"/>
        <w:jc w:val="left"/>
        <w:tblInd w:w="0" w:type="dxa"/>
        <w:tblLayout w:type="fixed"/>
        <w:tblCellMar>
          <w:top w:w="0" w:type="dxa"/>
          <w:left w:w="0" w:type="dxa"/>
          <w:bottom w:w="0" w:type="dxa"/>
          <w:right w:w="0" w:type="dxa"/>
        </w:tblCellMar>
      </w:tblPr>
      <w:tblGrid>
        <w:gridCol w:w="1936"/>
        <w:gridCol w:w="346"/>
        <w:gridCol w:w="1066"/>
        <w:gridCol w:w="361"/>
        <w:gridCol w:w="1111"/>
        <w:gridCol w:w="361"/>
        <w:gridCol w:w="1111"/>
        <w:gridCol w:w="361"/>
        <w:gridCol w:w="1111"/>
        <w:gridCol w:w="316"/>
      </w:tblGrid>
      <w:tr>
        <w:trPr/>
        <w:tc>
          <w:tcPr>
            <w:tcW w:w="19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1229360" cy="175260"/>
                      <wp:effectExtent l="0" t="0" r="0" b="0"/>
                      <wp:wrapNone/>
                      <wp:docPr id="219" name="Frame212"/>
                      <a:graphic xmlns:a="http://schemas.openxmlformats.org/drawingml/2006/main">
                        <a:graphicData uri="http://schemas.microsoft.com/office/word/2010/wordprocessingShape">
                          <wps:wsp>
                            <wps:cNvSpPr txBox="1"/>
                            <wps:spPr>
                              <a:xfrm>
                                <a:off x="0" y="0"/>
                                <a:ext cx="1229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20" name="Frame2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76910" cy="175260"/>
                      <wp:effectExtent l="0" t="0" r="0" b="0"/>
                      <wp:wrapNone/>
                      <wp:docPr id="221" name="Frame214"/>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29235" cy="175260"/>
                      <wp:effectExtent l="0" t="0" r="0" b="0"/>
                      <wp:wrapNone/>
                      <wp:docPr id="222" name="Frame215"/>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705485" cy="175260"/>
                      <wp:effectExtent l="0" t="0" r="0" b="0"/>
                      <wp:wrapNone/>
                      <wp:docPr id="223" name="Frame216"/>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29235" cy="175260"/>
                      <wp:effectExtent l="0" t="0" r="0" b="0"/>
                      <wp:wrapNone/>
                      <wp:docPr id="224" name="Frame21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705485" cy="175260"/>
                      <wp:effectExtent l="0" t="0" r="0" b="0"/>
                      <wp:wrapNone/>
                      <wp:docPr id="225" name="Frame218"/>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29235" cy="175260"/>
                      <wp:effectExtent l="0" t="0" r="0" b="0"/>
                      <wp:wrapNone/>
                      <wp:docPr id="226" name="Frame219"/>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705485" cy="175260"/>
                      <wp:effectExtent l="0" t="0" r="0" b="0"/>
                      <wp:wrapNone/>
                      <wp:docPr id="227" name="Frame220"/>
                      <a:graphic xmlns:a="http://schemas.openxmlformats.org/drawingml/2006/main">
                        <a:graphicData uri="http://schemas.microsoft.com/office/word/2010/wordprocessingShape">
                          <wps:wsp>
                            <wps:cNvSpPr txBox="1"/>
                            <wps:spPr>
                              <a:xfrm>
                                <a:off x="0" y="0"/>
                                <a:ext cx="705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200660" cy="175260"/>
                      <wp:effectExtent l="0" t="0" r="0" b="0"/>
                      <wp:wrapNone/>
                      <wp:docPr id="228" name="Frame221"/>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 Plan</w:t>
            </w:r>
          </w:p>
        </w:tc>
        <w:tc>
          <w:tcPr>
            <w:tcW w:w="361" w:type="dxa"/>
            <w:tcBorders/>
            <w:vAlign w:val="center"/>
          </w:tcPr>
          <w:p>
            <w:pPr>
              <w:pStyle w:val="TableContents"/>
              <w:bidi w:val="0"/>
              <w:spacing w:before="0" w:after="1"/>
              <w:ind w:left="0" w:right="0" w:hanging="0"/>
              <w:jc w:val="left"/>
              <w:rPr/>
            </w:pPr>
            <w:r>
              <w:rPr/>
              <w:t>  ​ ​ ​</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 Plan</w:t>
            </w:r>
          </w:p>
        </w:tc>
        <w:tc>
          <w:tcPr>
            <w:tcW w:w="361" w:type="dxa"/>
            <w:tcBorders/>
            <w:vAlign w:val="center"/>
          </w:tcPr>
          <w:p>
            <w:pPr>
              <w:pStyle w:val="TableContents"/>
              <w:bidi w:val="0"/>
              <w:spacing w:before="0" w:after="1"/>
              <w:ind w:left="0" w:right="0" w:hanging="0"/>
              <w:jc w:val="left"/>
              <w:rPr/>
            </w:pPr>
            <w:r>
              <w:rPr/>
              <w:t>  ​ ​ ​</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2025-2 Plan</w:t>
            </w:r>
          </w:p>
        </w:tc>
        <w:tc>
          <w:tcPr>
            <w:tcW w:w="361" w:type="dxa"/>
            <w:tcBorders/>
            <w:vAlign w:val="center"/>
          </w:tcPr>
          <w:p>
            <w:pPr>
              <w:pStyle w:val="TableContents"/>
              <w:bidi w:val="0"/>
              <w:spacing w:before="0" w:after="1"/>
              <w:ind w:left="0" w:right="0" w:hanging="0"/>
              <w:jc w:val="left"/>
              <w:rPr/>
            </w:pPr>
            <w:r>
              <w:rPr/>
              <w:t>  ​ ​ ​</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2025-2 Plan</w:t>
            </w:r>
          </w:p>
        </w:tc>
        <w:tc>
          <w:tcPr>
            <w:tcW w:w="316" w:type="dxa"/>
            <w:tcBorders/>
            <w:vAlign w:val="center"/>
          </w:tcPr>
          <w:p>
            <w:pPr>
              <w:pStyle w:val="TableContents"/>
              <w:bidi w:val="0"/>
              <w:spacing w:before="0" w:after="1"/>
              <w:ind w:left="0" w:right="0" w:hanging="0"/>
              <w:jc w:val="left"/>
              <w:rPr/>
            </w:pPr>
            <w:r>
              <w:rPr/>
              <w:t> </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Sept 6</w:t>
            </w:r>
          </w:p>
        </w:tc>
        <w:tc>
          <w:tcPr>
            <w:tcW w:w="361"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Oct 13</w:t>
            </w:r>
          </w:p>
        </w:tc>
        <w:tc>
          <w:tcPr>
            <w:tcW w:w="361"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Oct 13</w:t>
            </w:r>
          </w:p>
        </w:tc>
        <w:tc>
          <w:tcPr>
            <w:tcW w:w="361"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Jan 18</w:t>
            </w:r>
          </w:p>
        </w:tc>
        <w:tc>
          <w:tcPr>
            <w:tcW w:w="316" w:type="dxa"/>
            <w:tcBorders/>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2025)</w:t>
            </w:r>
          </w:p>
        </w:tc>
        <w:tc>
          <w:tcPr>
            <w:tcW w:w="361" w:type="dxa"/>
            <w:tcBorders/>
            <w:vAlign w:val="center"/>
          </w:tcPr>
          <w:p>
            <w:pPr>
              <w:pStyle w:val="TableContents"/>
              <w:bidi w:val="0"/>
              <w:spacing w:before="0" w:after="1"/>
              <w:ind w:left="0" w:right="0" w:hanging="0"/>
              <w:jc w:val="left"/>
              <w:rPr/>
            </w:pPr>
            <w:r>
              <w:rPr/>
              <w:t>​</w:t>
            </w:r>
          </w:p>
        </w:tc>
        <w:tc>
          <w:tcPr>
            <w:tcW w:w="111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6"/>
              </w:rPr>
              <w:t>2026)</w:t>
            </w:r>
          </w:p>
        </w:tc>
        <w:tc>
          <w:tcPr>
            <w:tcW w:w="316" w:type="dxa"/>
            <w:tcBorders/>
            <w:vAlign w:val="center"/>
          </w:tcPr>
          <w:p>
            <w:pPr>
              <w:pStyle w:val="TableContents"/>
              <w:bidi w:val="0"/>
              <w:spacing w:before="0" w:after="1"/>
              <w:ind w:left="0" w:right="0" w:hanging="0"/>
              <w:jc w:val="left"/>
              <w:rPr/>
            </w:pPr>
            <w:r>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Return Dividend</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68.59</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68.59</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61"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16" w:type="dxa"/>
            <w:tcBorders/>
            <w:vAlign w:val="center"/>
          </w:tcPr>
          <w:p>
            <w:pPr>
              <w:pStyle w:val="TableContents"/>
              <w:bidi w:val="0"/>
              <w:spacing w:before="0" w:after="1"/>
              <w:ind w:left="0" w:right="0" w:hanging="0"/>
              <w:jc w:val="left"/>
              <w:rPr/>
            </w:pPr>
            <w:r>
              <w:rPr/>
              <w:t> </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 price</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shd w:fill="CCEEFF" w:val="clear"/>
            <w:vAlign w:val="center"/>
          </w:tcPr>
          <w:p>
            <w:pPr>
              <w:pStyle w:val="TableContents"/>
              <w:bidi w:val="0"/>
              <w:spacing w:before="0" w:after="1"/>
              <w:ind w:left="0" w:right="0" w:hanging="0"/>
              <w:jc w:val="left"/>
              <w:rPr/>
            </w:pPr>
            <w:r>
              <w:rPr/>
              <w:t> </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4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61" w:type="dxa"/>
            <w:tcBorders/>
            <w:vAlign w:val="center"/>
          </w:tcPr>
          <w:p>
            <w:pPr>
              <w:pStyle w:val="TableContents"/>
              <w:bidi w:val="0"/>
              <w:spacing w:before="0" w:after="1"/>
              <w:ind w:left="0" w:right="0" w:hanging="0"/>
              <w:jc w:val="left"/>
              <w:rPr/>
            </w:pPr>
            <w:r>
              <w:rPr/>
              <w:t> </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w:t>
            </w:r>
          </w:p>
        </w:tc>
        <w:tc>
          <w:tcPr>
            <w:tcW w:w="316" w:type="dxa"/>
            <w:tcBorders/>
            <w:vAlign w:val="center"/>
          </w:tcPr>
          <w:p>
            <w:pPr>
              <w:pStyle w:val="TableContents"/>
              <w:bidi w:val="0"/>
              <w:spacing w:before="0" w:after="1"/>
              <w:ind w:left="0" w:right="0" w:hanging="0"/>
              <w:jc w:val="left"/>
              <w:rPr/>
            </w:pPr>
            <w:r>
              <w:rPr/>
              <w:t> </w:t>
            </w:r>
          </w:p>
        </w:tc>
      </w:tr>
      <w:tr>
        <w:trPr/>
        <w:tc>
          <w:tcPr>
            <w:tcW w:w="19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w:t>
            </w:r>
          </w:p>
        </w:tc>
        <w:tc>
          <w:tcPr>
            <w:tcW w:w="34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0.65</w:t>
            </w:r>
          </w:p>
        </w:tc>
        <w:tc>
          <w:tcPr>
            <w:tcW w:w="361"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c>
          <w:tcPr>
            <w:tcW w:w="361"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0.67</w:t>
            </w:r>
          </w:p>
        </w:tc>
        <w:tc>
          <w:tcPr>
            <w:tcW w:w="361" w:type="dxa"/>
            <w:tcBorders/>
            <w:shd w:fill="CCEEFF" w:val="clear"/>
            <w:vAlign w:val="center"/>
          </w:tcPr>
          <w:p>
            <w:pPr>
              <w:pStyle w:val="TableContents"/>
              <w:bidi w:val="0"/>
              <w:spacing w:before="0" w:after="1"/>
              <w:ind w:left="0" w:right="0" w:hanging="0"/>
              <w:jc w:val="left"/>
              <w:rPr/>
            </w:pPr>
            <w:r>
              <w:rPr/>
              <w:t> </w:t>
            </w:r>
          </w:p>
        </w:tc>
        <w:tc>
          <w:tcPr>
            <w:tcW w:w="111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0.70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19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Incremental Fair value</w:t>
            </w:r>
          </w:p>
        </w:tc>
        <w:tc>
          <w:tcPr>
            <w:tcW w:w="346" w:type="dxa"/>
            <w:tcBorders/>
            <w:vAlign w:val="center"/>
          </w:tcPr>
          <w:p>
            <w:pPr>
              <w:pStyle w:val="TableContents"/>
              <w:bidi w:val="0"/>
              <w:spacing w:before="0" w:after="1"/>
              <w:ind w:left="0" w:right="0" w:hanging="0"/>
              <w:jc w:val="left"/>
              <w:rPr/>
            </w:pPr>
            <w:r>
              <w:rPr/>
              <w:t>​</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0.45</w:t>
            </w:r>
          </w:p>
        </w:tc>
        <w:tc>
          <w:tcPr>
            <w:tcW w:w="361"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361"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0.48</w:t>
            </w:r>
          </w:p>
        </w:tc>
        <w:tc>
          <w:tcPr>
            <w:tcW w:w="361" w:type="dxa"/>
            <w:tcBorders/>
            <w:vAlign w:val="center"/>
          </w:tcPr>
          <w:p>
            <w:pPr>
              <w:pStyle w:val="TableContents"/>
              <w:bidi w:val="0"/>
              <w:spacing w:before="0" w:after="1"/>
              <w:ind w:left="0" w:right="0" w:hanging="0"/>
              <w:jc w:val="left"/>
              <w:rPr/>
            </w:pPr>
            <w:r>
              <w:rPr/>
              <w:t>​</w:t>
            </w:r>
          </w:p>
        </w:tc>
        <w:tc>
          <w:tcPr>
            <w:tcW w:w="11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0.41</w:t>
            </w:r>
          </w:p>
        </w:tc>
        <w:tc>
          <w:tcPr>
            <w:tcW w:w="316" w:type="dxa"/>
            <w:tcBorders/>
            <w:vAlign w:val="center"/>
          </w:tcPr>
          <w:p>
            <w:pPr>
              <w:pStyle w:val="TableContents"/>
              <w:bidi w:val="0"/>
              <w:spacing w:before="0" w:after="1"/>
              <w:ind w:left="0" w:right="0" w:hanging="0"/>
              <w:jc w:val="left"/>
              <w:rPr/>
            </w:pPr>
            <w:r>
              <w:rPr/>
              <w:t> </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Equity-settled share-based payment transactions – Restricted Stock Units (“RSU”)</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2024, 2025 and 2026, each non-executive director was granted “restricted share units” or “RSUs”, whereby each RSU represents the obligation of the relevant non-executive director to subscribe for one new ordinary share of the Company at a subscription price of EUR 0.1718 per share (irrespective of the market value of the share at that time).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RSUs will be accounted for as an equity-settled share-based payment plan as the Company can issue new shares under the authorized capital.</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12, 2024, the Company has granted a total of 103,642 RSUs towards 7 directors which vested at the shareholders’ meeting held in June 2025. As at June 30, 2026 all RSUs had been exercised.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11, 2025, the Company has granted a total of 146,531 RSUs, with the same conditions as the 2024 RSUs, towards 7 directors which vested at the shareholders’ meeting held in June 2026. As at June 30, 2026 all RSUs had been exercised.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10, 2026, the Company has granted a total of 358,267 RSUs, with the same conditions as the 2024 RSUs, towards 7 directors which will vest at the shareholders’ meeting held in June 2027. The total RSUs outstanding as at June 30, 2026 was 358,267 RSUs.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Equity-settled share-based payment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recognized €2.4 million share-based payment expense for the six months ended June 30, 2026 (2025: €2.9 million) of which €0.9 million is related to the incremental fair value of the re-priced warrants.</w:t>
      </w:r>
    </w:p>
    <w:p>
      <w:pPr>
        <w:pStyle w:val="TextBody"/>
        <w:bidi w:val="0"/>
        <w:spacing w:before="0" w:after="240"/>
        <w:ind w:left="0" w:right="0" w:hanging="0"/>
        <w:jc w:val="left"/>
        <w:rPr>
          <w:rFonts w:ascii="Times New Roman;Times;serif" w:hAnsi="Times New Roman;Times;serif"/>
          <w:b/>
          <w:sz w:val="20"/>
        </w:rPr>
      </w:pPr>
      <w:bookmarkStart w:id="1310" w:name="Tc_Rf850BrHlUS2VILpxnY0Pw_7_0"/>
      <w:bookmarkStart w:id="1311" w:name="Tc_bHlBmAY_rESgGpe3NSyENA_6_0"/>
      <w:bookmarkStart w:id="1312" w:name="Tc_OTMYi0rYnEOUi5GWK4luSQ_5_0"/>
      <w:bookmarkStart w:id="1313" w:name="Tc_W9xMXae4WU2Nxf4tfK5Pig_4_0"/>
      <w:bookmarkStart w:id="1314" w:name="Tc_agu82ukUg0-qr0o4KsqLgQ_3_0"/>
      <w:bookmarkStart w:id="1315" w:name="Tc_OLi7qpM4p0iSr9nE8W_Pvw_2_8"/>
      <w:bookmarkStart w:id="1316" w:name="Tc_wn-ivvXOYUOEgIA80TaQbg_2_6"/>
      <w:bookmarkStart w:id="1317" w:name="Tc_4tdvb0yBW0Gg18Owug607Q_2_4"/>
      <w:bookmarkStart w:id="1318" w:name="Tc_vsQACOcWbUKHT-kUpp1Irg_2_2"/>
      <w:bookmarkStart w:id="1319" w:name="Tc__0RO9sRooEeFGcwSGxAZAw_2_0"/>
      <w:bookmarkStart w:id="1320" w:name="Tc_L0qA7eKkk0yO6o-9XRQbIg_1_8"/>
      <w:bookmarkStart w:id="1321" w:name="Tc_biesJEYB_kmzEj53hceTFA_1_6"/>
      <w:bookmarkStart w:id="1322" w:name="Tc_zgmBxIqKs0m_ZqGa9GMn2w_1_4"/>
      <w:bookmarkStart w:id="1323" w:name="Tc_cI2kn3gYYkO4ZIRLUOn8GA_1_2"/>
      <w:bookmarkStart w:id="1324" w:name="_8fc350e9_3b7c_4faa_acc3_893b97796abd"/>
      <w:bookmarkStart w:id="1325" w:name="Tc_wH04cmdmwkCEvuKIa3vPwg_15_0"/>
      <w:bookmarkStart w:id="1326" w:name="Tc_ZARNCu0APkC26ZzuqNPSXg_14_0"/>
      <w:bookmarkStart w:id="1327" w:name="Tc_pH-JoXYUqEC_YvMQKtFAMg_13_0"/>
      <w:bookmarkStart w:id="1328" w:name="Tc_voYYyfHYM0GV0hdAxD-4xQ_12_0"/>
      <w:bookmarkStart w:id="1329" w:name="Tc_pxV-3bMAcUGIEchfyut1qQ_11_0"/>
      <w:bookmarkStart w:id="1330" w:name="Tc_Sci46lVGokCuWdfVYk2cFA_10_0"/>
      <w:bookmarkStart w:id="1331" w:name="Tc__zlueRVIhUiBhgEwCzBKUg_9_0"/>
      <w:bookmarkStart w:id="1332" w:name="Tc_iv32K9yGv0mmlPyxv6Yx5w_8_4"/>
      <w:bookmarkStart w:id="1333" w:name="Tc_IT9ZYmOOpkeRGCboIvE6gg_8_0"/>
      <w:bookmarkStart w:id="1334" w:name="Tc_VKCvF0Logk-aQGUr6gDlrA_7_0"/>
      <w:bookmarkStart w:id="1335" w:name="Tc_wrt-WfW4LUqxSlnrIFDaWA_6_0"/>
      <w:bookmarkStart w:id="1336" w:name="Tc_Z26w32Vq60C85-z_kcrj1g_5_0"/>
      <w:bookmarkStart w:id="1337" w:name="Tc_u0aE7ZWbHkqkm0VUQtNHTw_4_0"/>
      <w:bookmarkStart w:id="1338" w:name="Tc_LGIVTUcZAUm_xx64cAxi6g_3_4"/>
      <w:bookmarkStart w:id="1339" w:name="Tc_7lmgvFesLEyHcRaoViPT-A_3_2"/>
      <w:bookmarkStart w:id="1340" w:name="Tc_M2cBYgQa2EObjWoiOB_MJg_3_0"/>
      <w:bookmarkStart w:id="1341" w:name="Tc_w1qABsaBYk-iOhqXjgMphQ_2_4"/>
      <w:bookmarkStart w:id="1342" w:name="Tc_io-_qUCqd0yTP8idwrNMTA_2_2"/>
      <w:bookmarkStart w:id="1343" w:name="Tc_upSz60bZ4Ey1XzifCGw40A_1_2"/>
      <w:bookmarkStart w:id="1344" w:name="a17FinancialDebt_442046"/>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r>
        <w:rPr>
          <w:rFonts w:ascii="Times New Roman;Times;serif" w:hAnsi="Times New Roman;Times;serif"/>
          <w:b/>
          <w:i w:val="false"/>
          <w:caps w:val="false"/>
          <w:smallCaps w:val="false"/>
          <w:sz w:val="20"/>
        </w:rPr>
        <w:t>18.</w:t>
      </w:r>
      <w:r>
        <w:rPr>
          <w:rFonts w:ascii="Times New Roman;Times;serif" w:hAnsi="Times New Roman;Times;serif"/>
          <w:b/>
          <w:sz w:val="20"/>
        </w:rPr>
        <w:t>Financial Debt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debt mainly consists of recoverable cash advances, EIB finance agreement and synthetic warrants and convertible bond. The related amounts can be summarized as follows:</w:t>
      </w:r>
    </w:p>
    <w:p>
      <w:pPr>
        <w:pStyle w:val="TextBody"/>
        <w:bidi w:val="0"/>
        <w:spacing w:before="0" w:after="0"/>
        <w:ind w:left="0" w:right="0" w:hanging="0"/>
        <w:jc w:val="left"/>
        <w:rPr/>
      </w:pPr>
      <w:r>
        <w:rPr/>
        <w:t>​</w:t>
      </w:r>
    </w:p>
    <w:tbl>
      <w:tblPr>
        <w:tblW w:w="6110" w:type="dxa"/>
        <w:jc w:val="left"/>
        <w:tblInd w:w="0" w:type="dxa"/>
        <w:tblLayout w:type="fixed"/>
        <w:tblCellMar>
          <w:top w:w="0" w:type="dxa"/>
          <w:left w:w="0" w:type="dxa"/>
          <w:bottom w:w="0" w:type="dxa"/>
          <w:right w:w="0" w:type="dxa"/>
        </w:tblCellMar>
      </w:tblPr>
      <w:tblGrid>
        <w:gridCol w:w="3466"/>
        <w:gridCol w:w="346"/>
        <w:gridCol w:w="766"/>
        <w:gridCol w:w="346"/>
        <w:gridCol w:w="118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200910" cy="175260"/>
                      <wp:effectExtent l="0" t="0" r="0" b="0"/>
                      <wp:wrapNone/>
                      <wp:docPr id="229" name="Frame222"/>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486410" cy="175260"/>
                      <wp:effectExtent l="0" t="0" r="0" b="0"/>
                      <wp:wrapNone/>
                      <wp:docPr id="231" name="Frame22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19710" cy="175260"/>
                      <wp:effectExtent l="0" t="0" r="0" b="0"/>
                      <wp:wrapNone/>
                      <wp:docPr id="232" name="Frame2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753110" cy="175260"/>
                      <wp:effectExtent l="0" t="0" r="0" b="0"/>
                      <wp:wrapNone/>
                      <wp:docPr id="233" name="Frame22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346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Recoverable cash advances - Non-current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8,769</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8,276</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Recoverable cash advances - Current</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Recoverable cash advances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9,051</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8,609</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EIB finance agreement - Non-current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18,787</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7,793</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EIB accrued interest - Current</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Synthetic warrants - Non-current</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7,420</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EIB</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26,732</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9,394</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bond - Current</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22,328</w:t>
            </w:r>
          </w:p>
        </w:tc>
        <w:tc>
          <w:tcPr>
            <w:tcW w:w="3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22,657</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convertible bond</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22,328</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22,657</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debt</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58,111</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40,660</w:t>
            </w:r>
          </w:p>
        </w:tc>
      </w:tr>
      <w:tr>
        <w:trPr/>
        <w:tc>
          <w:tcPr>
            <w:tcW w:w="34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34,976</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17,670</w:t>
            </w:r>
          </w:p>
        </w:tc>
      </w:tr>
      <w:tr>
        <w:trPr/>
        <w:tc>
          <w:tcPr>
            <w:tcW w:w="34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23,135</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22,990</w:t>
            </w:r>
          </w:p>
        </w:tc>
      </w:tr>
    </w:tbl>
    <w:p>
      <w:pPr>
        <w:pStyle w:val="TextBody"/>
        <w:bidi w:val="0"/>
        <w:spacing w:before="0" w:after="0"/>
        <w:ind w:left="0" w:right="0" w:hanging="0"/>
        <w:jc w:val="left"/>
        <w:rPr/>
      </w:pPr>
      <w:r>
        <w:rPr/>
        <w:t>​</w:t>
      </w:r>
    </w:p>
    <w:p>
      <w:pPr>
        <w:pStyle w:val="TextBody"/>
        <w:pBdr/>
        <w:bidi w:val="0"/>
        <w:spacing w:before="0" w:after="240"/>
        <w:ind w:left="0" w:right="0" w:hanging="360"/>
        <w:jc w:val="left"/>
        <w:rPr>
          <w:rFonts w:ascii="Times New Roman;Times;serif" w:hAnsi="Times New Roman;Times;serif"/>
          <w:b/>
          <w:sz w:val="20"/>
        </w:rPr>
      </w:pPr>
      <w:r>
        <w:rPr>
          <w:rFonts w:ascii="Times New Roman;Times;serif" w:hAnsi="Times New Roman;Times;serif"/>
          <w:b/>
          <w:sz w:val="20"/>
        </w:rPr>
        <w:t>18.1.   Financial debt related to recoverable cash advances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Recoverable cash advances received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at June 30, 2026, the details of recoverable cash advances received can be summarized as follows:</w:t>
      </w:r>
    </w:p>
    <w:p>
      <w:pPr>
        <w:pStyle w:val="TextBody"/>
        <w:bidi w:val="0"/>
        <w:spacing w:before="0" w:after="0"/>
        <w:ind w:left="0" w:right="0" w:hanging="0"/>
        <w:jc w:val="left"/>
        <w:rPr/>
      </w:pPr>
      <w:r>
        <w:rPr/>
        <w:t>​</w:t>
      </w:r>
    </w:p>
    <w:tbl>
      <w:tblPr>
        <w:tblW w:w="9069" w:type="dxa"/>
        <w:jc w:val="left"/>
        <w:tblInd w:w="0" w:type="dxa"/>
        <w:tblLayout w:type="fixed"/>
        <w:tblCellMar>
          <w:top w:w="0" w:type="dxa"/>
          <w:left w:w="0" w:type="dxa"/>
          <w:bottom w:w="0" w:type="dxa"/>
          <w:right w:w="0" w:type="dxa"/>
        </w:tblCellMar>
      </w:tblPr>
      <w:tblGrid>
        <w:gridCol w:w="3181"/>
        <w:gridCol w:w="346"/>
        <w:gridCol w:w="991"/>
        <w:gridCol w:w="346"/>
        <w:gridCol w:w="796"/>
        <w:gridCol w:w="346"/>
        <w:gridCol w:w="1336"/>
        <w:gridCol w:w="346"/>
        <w:gridCol w:w="1381"/>
      </w:tblGrid>
      <w:tr>
        <w:trPr/>
        <w:tc>
          <w:tcPr>
            <w:tcW w:w="31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19935" cy="175260"/>
                      <wp:effectExtent l="0" t="0" r="0" b="0"/>
                      <wp:wrapNone/>
                      <wp:docPr id="234" name="Frame227"/>
                      <a:graphic xmlns:a="http://schemas.openxmlformats.org/drawingml/2006/main">
                        <a:graphicData uri="http://schemas.microsoft.com/office/word/2010/wordprocessingShape">
                          <wps:wsp>
                            <wps:cNvSpPr txBox="1"/>
                            <wps:spPr>
                              <a:xfrm>
                                <a:off x="0" y="0"/>
                                <a:ext cx="2019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219710" cy="175260"/>
                      <wp:effectExtent l="0" t="0" r="0" b="0"/>
                      <wp:wrapNone/>
                      <wp:docPr id="235" name="Frame2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29285" cy="175260"/>
                      <wp:effectExtent l="0" t="0" r="0" b="0"/>
                      <wp:wrapNone/>
                      <wp:docPr id="236" name="Frame229"/>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19710" cy="175260"/>
                      <wp:effectExtent l="0" t="0" r="0" b="0"/>
                      <wp:wrapNone/>
                      <wp:docPr id="237"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505460" cy="175260"/>
                      <wp:effectExtent l="0" t="0" r="0" b="0"/>
                      <wp:wrapNone/>
                      <wp:docPr id="238" name="Frame23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19710" cy="175260"/>
                      <wp:effectExtent l="0" t="0" r="0" b="0"/>
                      <wp:wrapNone/>
                      <wp:docPr id="239"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848360" cy="175260"/>
                      <wp:effectExtent l="0" t="0" r="0" b="0"/>
                      <wp:wrapNone/>
                      <wp:docPr id="240" name="Frame233"/>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219710" cy="175260"/>
                      <wp:effectExtent l="0" t="0" r="0" b="0"/>
                      <wp:wrapNone/>
                      <wp:docPr id="241"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876935" cy="175260"/>
                      <wp:effectExtent l="0" t="0" r="0" b="0"/>
                      <wp:wrapNone/>
                      <wp:docPr id="242" name="Frame235"/>
                      <a:graphic xmlns:a="http://schemas.openxmlformats.org/drawingml/2006/main">
                        <a:graphicData uri="http://schemas.microsoft.com/office/word/2010/wordprocessingShape">
                          <wps:wsp>
                            <wps:cNvSpPr txBox="1"/>
                            <wps:spPr>
                              <a:xfrm>
                                <a:off x="0" y="0"/>
                                <a:ext cx="876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w:t>
            </w:r>
          </w:p>
        </w:tc>
        <w:tc>
          <w:tcPr>
            <w:tcW w:w="34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Advances</w:t>
            </w:r>
          </w:p>
        </w:tc>
        <w:tc>
          <w:tcPr>
            <w:tcW w:w="346" w:type="dxa"/>
            <w:tcBorders/>
            <w:vAlign w:val="center"/>
          </w:tcPr>
          <w:p>
            <w:pPr>
              <w:pStyle w:val="TableContents"/>
              <w:bidi w:val="0"/>
              <w:spacing w:before="0" w:after="0"/>
              <w:ind w:left="0" w:right="0" w:hanging="0"/>
              <w:jc w:val="center"/>
              <w:rPr/>
            </w:pPr>
            <w:r>
              <w:rPr/>
              <w:t>​</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Fixed</w:t>
            </w:r>
          </w:p>
        </w:tc>
        <w:tc>
          <w:tcPr>
            <w:tcW w:w="346" w:type="dxa"/>
            <w:tcBorders/>
            <w:vAlign w:val="center"/>
          </w:tcPr>
          <w:p>
            <w:pPr>
              <w:pStyle w:val="TableContents"/>
              <w:bidi w:val="0"/>
              <w:spacing w:before="0" w:after="0"/>
              <w:ind w:left="0" w:right="0" w:hanging="0"/>
              <w:jc w:val="center"/>
              <w:rPr/>
            </w:pPr>
            <w:r>
              <w:rPr/>
              <w:t>​</w:t>
            </w:r>
          </w:p>
        </w:tc>
        <w:tc>
          <w:tcPr>
            <w:tcW w:w="138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Variable </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  ​ ​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advances</w:t>
            </w:r>
          </w:p>
        </w:tc>
        <w:tc>
          <w:tcPr>
            <w:tcW w:w="346"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received</w:t>
            </w:r>
          </w:p>
        </w:tc>
        <w:tc>
          <w:tcPr>
            <w:tcW w:w="346" w:type="dxa"/>
            <w:tcBorders/>
            <w:vAlign w:val="center"/>
          </w:tcPr>
          <w:p>
            <w:pPr>
              <w:pStyle w:val="TableContents"/>
              <w:bidi w:val="0"/>
              <w:spacing w:before="0" w:after="0"/>
              <w:ind w:left="0" w:right="0" w:hanging="0"/>
              <w:jc w:val="left"/>
              <w:rPr/>
            </w:pPr>
            <w:r>
              <w:rPr/>
              <w:t>  ​ ​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reimbursements*</w:t>
            </w:r>
          </w:p>
        </w:tc>
        <w:tc>
          <w:tcPr>
            <w:tcW w:w="346" w:type="dxa"/>
            <w:tcBorders/>
            <w:vAlign w:val="center"/>
          </w:tcPr>
          <w:p>
            <w:pPr>
              <w:pStyle w:val="TableContents"/>
              <w:bidi w:val="0"/>
              <w:spacing w:before="0" w:after="0"/>
              <w:ind w:left="0" w:right="0" w:hanging="0"/>
              <w:jc w:val="left"/>
              <w:rPr/>
            </w:pPr>
            <w:r>
              <w:rPr/>
              <w:t>  ​ ​ ​</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reimbursements*</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Sleep apnea device (6472)</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c>
          <w:tcPr>
            <w:tcW w:w="346" w:type="dxa"/>
            <w:tcBorders/>
            <w:shd w:fill="CCEEFF" w:val="clear"/>
            <w:vAlign w:val="center"/>
          </w:tcPr>
          <w:p>
            <w:pPr>
              <w:pStyle w:val="TableContents"/>
              <w:bidi w:val="0"/>
              <w:spacing w:before="0" w:after="0"/>
              <w:ind w:left="0" w:right="0" w:hanging="0"/>
              <w:jc w:val="righ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588</w:t>
            </w:r>
          </w:p>
        </w:tc>
        <w:tc>
          <w:tcPr>
            <w:tcW w:w="346" w:type="dxa"/>
            <w:tcBorders/>
            <w:shd w:fill="CCEEFF" w:val="clear"/>
            <w:vAlign w:val="center"/>
          </w:tcPr>
          <w:p>
            <w:pPr>
              <w:pStyle w:val="TableContents"/>
              <w:bidi w:val="0"/>
              <w:spacing w:before="0" w:after="0"/>
              <w:ind w:left="0" w:right="0" w:hanging="0"/>
              <w:jc w:val="right"/>
              <w:rPr/>
            </w:pPr>
            <w:r>
              <w:rPr/>
              <w:t>​</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First articles (6839)</w:t>
            </w:r>
          </w:p>
        </w:tc>
        <w:tc>
          <w:tcPr>
            <w:tcW w:w="346" w:type="dxa"/>
            <w:tcBorders/>
            <w:vAlign w:val="center"/>
          </w:tcPr>
          <w:p>
            <w:pPr>
              <w:pStyle w:val="TableContents"/>
              <w:bidi w:val="0"/>
              <w:spacing w:before="0" w:after="0"/>
              <w:ind w:left="0" w:right="0" w:hanging="0"/>
              <w:jc w:val="left"/>
              <w:rPr/>
            </w:pPr>
            <w:r>
              <w:rPr/>
              <w:t> </w:t>
            </w:r>
          </w:p>
        </w:tc>
        <w:tc>
          <w:tcPr>
            <w:tcW w:w="9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w:t>
            </w:r>
          </w:p>
        </w:tc>
        <w:tc>
          <w:tcPr>
            <w:tcW w:w="34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2,160</w:t>
            </w:r>
          </w:p>
        </w:tc>
        <w:tc>
          <w:tcPr>
            <w:tcW w:w="346" w:type="dxa"/>
            <w:tcBorders/>
            <w:vAlign w:val="center"/>
          </w:tcPr>
          <w:p>
            <w:pPr>
              <w:pStyle w:val="TableContents"/>
              <w:bidi w:val="0"/>
              <w:spacing w:before="0" w:after="0"/>
              <w:ind w:left="0" w:right="0" w:hanging="0"/>
              <w:jc w:val="righ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w:t>
            </w:r>
          </w:p>
        </w:tc>
        <w:tc>
          <w:tcPr>
            <w:tcW w:w="346" w:type="dxa"/>
            <w:tcBorders/>
            <w:vAlign w:val="center"/>
          </w:tcPr>
          <w:p>
            <w:pPr>
              <w:pStyle w:val="TableContents"/>
              <w:bidi w:val="0"/>
              <w:spacing w:before="0" w:after="0"/>
              <w:ind w:left="0" w:right="0" w:hanging="0"/>
              <w:jc w:val="right"/>
              <w:rPr/>
            </w:pPr>
            <w:r>
              <w:rPr/>
              <w:t>​</w:t>
            </w:r>
          </w:p>
        </w:tc>
        <w:tc>
          <w:tcPr>
            <w:tcW w:w="13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Clinical trial (6840)</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346" w:type="dxa"/>
            <w:tcBorders/>
            <w:shd w:fill="CCEEFF" w:val="clear"/>
            <w:vAlign w:val="center"/>
          </w:tcPr>
          <w:p>
            <w:pPr>
              <w:pStyle w:val="TableContents"/>
              <w:bidi w:val="0"/>
              <w:spacing w:before="0" w:after="0"/>
              <w:ind w:left="0" w:right="0" w:hanging="0"/>
              <w:jc w:val="righ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585</w:t>
            </w:r>
          </w:p>
        </w:tc>
        <w:tc>
          <w:tcPr>
            <w:tcW w:w="346" w:type="dxa"/>
            <w:tcBorders/>
            <w:shd w:fill="CCEEFF" w:val="clear"/>
            <w:vAlign w:val="center"/>
          </w:tcPr>
          <w:p>
            <w:pPr>
              <w:pStyle w:val="TableContents"/>
              <w:bidi w:val="0"/>
              <w:spacing w:before="0" w:after="0"/>
              <w:ind w:left="0" w:right="0" w:hanging="0"/>
              <w:jc w:val="right"/>
              <w:rPr/>
            </w:pPr>
            <w:r>
              <w:rPr/>
              <w:t>​</w:t>
            </w:r>
          </w:p>
        </w:tc>
        <w:tc>
          <w:tcPr>
            <w:tcW w:w="13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318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Activation chip improvements (7388)</w:t>
            </w:r>
          </w:p>
        </w:tc>
        <w:tc>
          <w:tcPr>
            <w:tcW w:w="346" w:type="dxa"/>
            <w:tcBorders/>
            <w:vAlign w:val="center"/>
          </w:tcPr>
          <w:p>
            <w:pPr>
              <w:pStyle w:val="TableContents"/>
              <w:bidi w:val="0"/>
              <w:spacing w:before="0" w:after="0"/>
              <w:ind w:left="0" w:right="0" w:hanging="0"/>
              <w:jc w:val="left"/>
              <w:rPr/>
            </w:pPr>
            <w:r>
              <w:rPr/>
              <w:t> </w:t>
            </w:r>
          </w:p>
        </w:tc>
        <w:tc>
          <w:tcPr>
            <w:tcW w:w="9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w:t>
            </w:r>
          </w:p>
        </w:tc>
        <w:tc>
          <w:tcPr>
            <w:tcW w:w="34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w:t>
            </w:r>
          </w:p>
        </w:tc>
        <w:tc>
          <w:tcPr>
            <w:tcW w:w="346" w:type="dxa"/>
            <w:tcBorders/>
            <w:vAlign w:val="center"/>
          </w:tcPr>
          <w:p>
            <w:pPr>
              <w:pStyle w:val="TableContents"/>
              <w:bidi w:val="0"/>
              <w:spacing w:before="0" w:after="0"/>
              <w:ind w:left="0" w:right="0" w:hanging="0"/>
              <w:jc w:val="right"/>
              <w:rPr/>
            </w:pPr>
            <w:r>
              <w:rPr/>
              <w:t>​</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before="0" w:after="0"/>
              <w:ind w:left="0" w:right="0" w:hanging="0"/>
              <w:jc w:val="right"/>
              <w:rPr/>
            </w:pPr>
            <w:r>
              <w:rPr/>
              <w:t>​</w:t>
            </w:r>
          </w:p>
        </w:tc>
        <w:tc>
          <w:tcPr>
            <w:tcW w:w="13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318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9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7,627</w:t>
            </w:r>
          </w:p>
        </w:tc>
        <w:tc>
          <w:tcPr>
            <w:tcW w:w="34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7,627</w:t>
            </w:r>
          </w:p>
        </w:tc>
        <w:tc>
          <w:tcPr>
            <w:tcW w:w="346" w:type="dxa"/>
            <w:tcBorders/>
            <w:shd w:fill="CCEEFF" w:val="clear"/>
            <w:vAlign w:val="center"/>
          </w:tcPr>
          <w:p>
            <w:pPr>
              <w:pStyle w:val="TableContents"/>
              <w:bidi w:val="0"/>
              <w:spacing w:before="0" w:after="0"/>
              <w:ind w:left="0" w:right="0" w:hanging="0"/>
              <w:jc w:val="right"/>
              <w:rPr/>
            </w:pPr>
            <w:r>
              <w:rPr/>
              <w:t>​</w:t>
            </w:r>
          </w:p>
        </w:tc>
        <w:tc>
          <w:tcPr>
            <w:tcW w:w="13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1,959</w:t>
            </w:r>
          </w:p>
        </w:tc>
        <w:tc>
          <w:tcPr>
            <w:tcW w:w="346" w:type="dxa"/>
            <w:tcBorders/>
            <w:shd w:fill="CCEEFF" w:val="clear"/>
            <w:vAlign w:val="center"/>
          </w:tcPr>
          <w:p>
            <w:pPr>
              <w:pStyle w:val="TableContents"/>
              <w:bidi w:val="0"/>
              <w:spacing w:before="0" w:after="0"/>
              <w:ind w:left="0" w:right="0" w:hanging="0"/>
              <w:jc w:val="right"/>
              <w:rPr/>
            </w:pPr>
            <w:r>
              <w:rPr/>
              <w:t>​</w:t>
            </w:r>
          </w:p>
        </w:tc>
        <w:tc>
          <w:tcPr>
            <w:tcW w:w="13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148</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Excluding interests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the Company made variable reimbursements but did not receive any new amounts.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45" w:name="Tc_SvScJ6_BakGRsRwHIijfag_5_0"/>
      <w:bookmarkStart w:id="1346" w:name="Tc_hjI2yIizs0KxwVMXYMTS0Q_4_0"/>
      <w:bookmarkStart w:id="1347" w:name="Tc_VwSo-6goFkOD_lwMDDiJnQ_3_0"/>
      <w:bookmarkStart w:id="1348" w:name="Tc_xq7wWCeAaEuF035Wz61PdQ_2_6"/>
      <w:bookmarkStart w:id="1349" w:name="Tc_X6_FW4memkW0JUZ7K3JxLg_2_4"/>
      <w:bookmarkStart w:id="1350" w:name="Tc_B_mKpEkMm0uV2fCyMxcG6g_2_2"/>
      <w:bookmarkStart w:id="1351" w:name="Tc_KOkRJ4r18UOha5-0qbOs3A_2_0"/>
      <w:bookmarkStart w:id="1352" w:name="Tc_Mt_O2dQE30mqcblwMpvDqw_1_2"/>
      <w:bookmarkStart w:id="1353" w:name="Tc_9Z7WcTjIhEem9WksKMiwJQ_1_0"/>
      <w:bookmarkStart w:id="1354" w:name="_489af8a0_6ad7_49be_a5fe_572e1c57b51d"/>
      <w:bookmarkStart w:id="1355" w:name="Tc_aFI1FJHCdkWCWv8e6Cd3OA_7_0"/>
      <w:bookmarkStart w:id="1356" w:name="Tc_LqC8-PW13E23U6YIDXQaJA_6_0"/>
      <w:bookmarkStart w:id="1357" w:name="Tc_saJuhey8CkazcYeKgi1YSQ_5_0"/>
      <w:bookmarkStart w:id="1358" w:name="Tc_-iyKAtBE70iLgJjRbTuIWw_4_4"/>
      <w:bookmarkStart w:id="1359" w:name="Tc_fRgaVbPWF0W1f3Zyke1UWw_4_0"/>
      <w:bookmarkStart w:id="1360" w:name="Tc_IVAARhwz90GIckw6CrHY7g_3_4"/>
      <w:bookmarkStart w:id="1361" w:name="Tc_4f4mIz6lZk21UwxvXRUZ4A_3_0"/>
      <w:bookmarkStart w:id="1362" w:name="Tc_Qd7khpcdhECqerp3x6BpXA_2_0"/>
      <w:bookmarkStart w:id="1363" w:name="Tc_QB6MeIv1BE-3aQLQ8MqS6A_1_4"/>
      <w:bookmarkStart w:id="1364" w:name="Tc_eX_dnDRFL0uVwPTgkLbnow_1_2"/>
      <w:bookmarkStart w:id="1365" w:name="Tc_ypXo4kSuB0OftLWaV0pr5Q_1_0"/>
      <w:bookmarkStart w:id="1366" w:name="Tc_FAUvkNH_vk6YQTNuZlAQNg_11_0"/>
      <w:bookmarkStart w:id="1367" w:name="Tc_x__msYeiXUyoKRgNc948sg_10_0"/>
      <w:bookmarkStart w:id="1368" w:name="Tc_vjFchyRqMk6-xZTeAbyt0w_9_0"/>
      <w:bookmarkStart w:id="1369" w:name="Tc_L0KV-Q9KrEmEMX5WKgdHkw_8_0"/>
      <w:bookmarkStart w:id="1370" w:name="Tc_kmQexiox7Ua9N729kAt3dA_7_0"/>
      <w:bookmarkStart w:id="1371" w:name="Tc_rdeBRfKqaUi2-ypqijviTw_6_0"/>
      <w:bookmarkStart w:id="1372" w:name="Tc_AjgFrX5K1kyI8hKcojxxHA_5_0"/>
      <w:bookmarkStart w:id="1373" w:name="Tc_MG2ns5Tdek-X1uAEtMRACA_4_0"/>
      <w:bookmarkStart w:id="1374" w:name="Tc_DtwXeR2vXkm_CDKE0s-e3w_3_4"/>
      <w:bookmarkStart w:id="1375" w:name="Tc_gCBB-kvGO0a43tIR1-JVew_3_2"/>
      <w:bookmarkStart w:id="1376" w:name="Tc_fRKZmQs6iUKanLJwxNrr3Q_3_0"/>
      <w:bookmarkStart w:id="1377" w:name="Tc_RYUmdxipK0m0o-ExPxn4bA_2_4"/>
      <w:bookmarkStart w:id="1378" w:name="Tc_nuMXIY6kWE-Sv-gPszHFmg_2_2"/>
      <w:bookmarkStart w:id="1379" w:name="Tc_QiRIZhmyCkGgvpDU_Y225Q_1_2"/>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r>
        <w:rPr>
          <w:rFonts w:ascii="Times New Roman;Times;serif" w:hAnsi="Times New Roman;Times;serif"/>
          <w:sz w:val="20"/>
        </w:rPr>
        <w:t>Based on expected timing of sales and after discounting, the financial debt related to the recoverable cash advances is as follows:</w:t>
      </w:r>
    </w:p>
    <w:p>
      <w:pPr>
        <w:pStyle w:val="TextBody"/>
        <w:bidi w:val="0"/>
        <w:spacing w:before="0" w:after="0"/>
        <w:ind w:left="0" w:right="0" w:hanging="0"/>
        <w:jc w:val="left"/>
        <w:rPr/>
      </w:pPr>
      <w:r>
        <w:rPr/>
        <w:t>​</w:t>
      </w:r>
    </w:p>
    <w:tbl>
      <w:tblPr>
        <w:tblW w:w="5495" w:type="dxa"/>
        <w:jc w:val="left"/>
        <w:tblInd w:w="0" w:type="dxa"/>
        <w:tblLayout w:type="fixed"/>
        <w:tblCellMar>
          <w:top w:w="0" w:type="dxa"/>
          <w:left w:w="0" w:type="dxa"/>
          <w:bottom w:w="0" w:type="dxa"/>
          <w:right w:w="0" w:type="dxa"/>
        </w:tblCellMar>
      </w:tblPr>
      <w:tblGrid>
        <w:gridCol w:w="2896"/>
        <w:gridCol w:w="346"/>
        <w:gridCol w:w="766"/>
        <w:gridCol w:w="346"/>
        <w:gridCol w:w="1141"/>
      </w:tblGrid>
      <w:tr>
        <w:trPr/>
        <w:tc>
          <w:tcPr>
            <w:tcW w:w="2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1838960" cy="175260"/>
                      <wp:effectExtent l="0" t="0" r="0" b="0"/>
                      <wp:wrapNone/>
                      <wp:docPr id="243" name="Frame236"/>
                      <a:graphic xmlns:a="http://schemas.openxmlformats.org/drawingml/2006/main">
                        <a:graphicData uri="http://schemas.microsoft.com/office/word/2010/wordprocessingShape">
                          <wps:wsp>
                            <wps:cNvSpPr txBox="1"/>
                            <wps:spPr>
                              <a:xfrm>
                                <a:off x="0" y="0"/>
                                <a:ext cx="183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86410" cy="175260"/>
                      <wp:effectExtent l="0" t="0" r="0" b="0"/>
                      <wp:wrapNone/>
                      <wp:docPr id="245" name="Frame23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6" name="Frame2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724535" cy="175260"/>
                      <wp:effectExtent l="0" t="0" r="0" b="0"/>
                      <wp:wrapNone/>
                      <wp:docPr id="247" name="Frame24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5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289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289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8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6472</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1,797</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1,697</w:t>
            </w:r>
          </w:p>
        </w:tc>
      </w:tr>
      <w:tr>
        <w:trPr/>
        <w:tc>
          <w:tcPr>
            <w:tcW w:w="28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6839</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2,344</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w:t>
            </w:r>
          </w:p>
        </w:tc>
      </w:tr>
      <w:tr>
        <w:trPr/>
        <w:tc>
          <w:tcPr>
            <w:tcW w:w="28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6840</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2,784</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2,650</w:t>
            </w:r>
          </w:p>
        </w:tc>
      </w:tr>
      <w:tr>
        <w:trPr/>
        <w:tc>
          <w:tcPr>
            <w:tcW w:w="28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7388</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2,033</w:t>
            </w:r>
          </w:p>
        </w:tc>
      </w:tr>
      <w:tr>
        <w:trPr/>
        <w:tc>
          <w:tcPr>
            <w:tcW w:w="289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recoverable cash advances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9,051</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8,609</w:t>
            </w:r>
          </w:p>
        </w:tc>
      </w:tr>
      <w:tr>
        <w:trPr/>
        <w:tc>
          <w:tcPr>
            <w:tcW w:w="289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8,769</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8,276</w:t>
            </w:r>
          </w:p>
        </w:tc>
      </w:tr>
      <w:tr>
        <w:trPr/>
        <w:tc>
          <w:tcPr>
            <w:tcW w:w="289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w:t>
            </w:r>
          </w:p>
        </w:tc>
      </w:tr>
      <w:tr>
        <w:trPr/>
        <w:tc>
          <w:tcPr>
            <w:tcW w:w="289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recoverable cash advances</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9,051</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8,609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amounts recorded under “Current” caption correspond to the sales-independent amounts (fixed repayment) and sales-dependent reimbursements (variable repayment) estimated to be repaid to the Walloon Region in the next 12-month period. The estimated sales-independent (fixed repayment) as well as sales-dependent reimbursements (variable repayment) beyond 12 months are recorded under “Non-current” liabilities.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the recoverable cash advances can be summarized as follows:</w:t>
      </w:r>
    </w:p>
    <w:p>
      <w:pPr>
        <w:pStyle w:val="TextBody"/>
        <w:bidi w:val="0"/>
        <w:spacing w:before="0" w:after="240"/>
        <w:ind w:left="0" w:right="0" w:hanging="0"/>
        <w:jc w:val="both"/>
        <w:rPr/>
      </w:pPr>
      <w:r>
        <w:rPr/>
        <w:t>​</w:t>
      </w:r>
    </w:p>
    <w:tbl>
      <w:tblPr>
        <w:tblW w:w="5510" w:type="dxa"/>
        <w:jc w:val="left"/>
        <w:tblInd w:w="0" w:type="dxa"/>
        <w:tblLayout w:type="fixed"/>
        <w:tblCellMar>
          <w:top w:w="0" w:type="dxa"/>
          <w:left w:w="0" w:type="dxa"/>
          <w:bottom w:w="0" w:type="dxa"/>
          <w:right w:w="0" w:type="dxa"/>
        </w:tblCellMar>
      </w:tblPr>
      <w:tblGrid>
        <w:gridCol w:w="3571"/>
        <w:gridCol w:w="346"/>
        <w:gridCol w:w="571"/>
        <w:gridCol w:w="346"/>
        <w:gridCol w:w="676"/>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267585" cy="175260"/>
                      <wp:effectExtent l="0" t="0" r="0" b="0"/>
                      <wp:wrapNone/>
                      <wp:docPr id="248" name="Frame241"/>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9" name="Frame2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362585" cy="175260"/>
                      <wp:effectExtent l="0" t="0" r="0" b="0"/>
                      <wp:wrapNone/>
                      <wp:docPr id="250" name="Frame2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19710" cy="175260"/>
                      <wp:effectExtent l="0" t="0" r="0" b="0"/>
                      <wp:wrapNone/>
                      <wp:docPr id="251"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429260" cy="175260"/>
                      <wp:effectExtent l="0" t="0" r="0" b="0"/>
                      <wp:wrapNone/>
                      <wp:docPr id="252" name="Frame24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5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at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8,609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8,871</w:t>
            </w:r>
          </w:p>
        </w:tc>
      </w:tr>
      <w:tr>
        <w:trPr/>
        <w:tc>
          <w:tcPr>
            <w:tcW w:w="35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Advances reimbursed (excluding interests)</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Interests paid</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measurement and re-measurement</w:t>
            </w:r>
          </w:p>
        </w:tc>
        <w:tc>
          <w:tcPr>
            <w:tcW w:w="34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5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Discounting impact</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357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at June 30</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9,051</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9,385</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A sensitivity analysis of the carrying amount of recoverable cash advances has been done to assess the impact of a change in assumptions. The Company tested reasonable sensitivity to changes in revenue projections of +/- 25% </w:t>
      </w:r>
      <w:r>
        <w:rPr>
          <w:rFonts w:ascii="Times New Roman;Times;serif" w:hAnsi="Times New Roman;Times;serif"/>
          <w:b w:val="false"/>
          <w:i w:val="false"/>
          <w:caps w:val="false"/>
          <w:smallCaps w:val="false"/>
          <w:sz w:val="20"/>
        </w:rPr>
        <w:t>and</w:t>
      </w:r>
      <w:r>
        <w:rPr>
          <w:rFonts w:ascii="Times New Roman;Times;serif" w:hAnsi="Times New Roman;Times;serif"/>
          <w:sz w:val="20"/>
        </w:rPr>
        <w:t xml:space="preserve"> in the discount rates </w:t>
      </w:r>
      <w:r>
        <w:rPr>
          <w:rFonts w:ascii="Times New Roman;Times;serif" w:hAnsi="Times New Roman;Times;serif"/>
          <w:b w:val="false"/>
          <w:i w:val="false"/>
          <w:caps w:val="false"/>
          <w:smallCaps w:val="false"/>
          <w:sz w:val="20"/>
        </w:rPr>
        <w:t xml:space="preserve">of </w:t>
      </w:r>
      <w:r>
        <w:rPr>
          <w:rFonts w:ascii="Times New Roman;Times;serif" w:hAnsi="Times New Roman;Times;serif"/>
          <w:sz w:val="20"/>
        </w:rPr>
        <w:t>+/- 25%. The table hereunder details the sensitivity results:</w:t>
      </w:r>
    </w:p>
    <w:p>
      <w:pPr>
        <w:pStyle w:val="TextBody"/>
        <w:bidi w:val="0"/>
        <w:spacing w:before="0" w:after="0"/>
        <w:ind w:left="0" w:right="0" w:hanging="0"/>
        <w:jc w:val="left"/>
        <w:rPr/>
      </w:pPr>
      <w:r>
        <w:rPr/>
        <w:t>​</w:t>
      </w:r>
    </w:p>
    <w:tbl>
      <w:tblPr>
        <w:tblW w:w="5752" w:type="dxa"/>
        <w:jc w:val="left"/>
        <w:tblInd w:w="0" w:type="dxa"/>
        <w:tblLayout w:type="fixed"/>
        <w:tblCellMar>
          <w:top w:w="0" w:type="dxa"/>
          <w:left w:w="0" w:type="dxa"/>
          <w:bottom w:w="0" w:type="dxa"/>
          <w:right w:w="0" w:type="dxa"/>
        </w:tblCellMar>
      </w:tblPr>
      <w:tblGrid>
        <w:gridCol w:w="2851"/>
        <w:gridCol w:w="346"/>
        <w:gridCol w:w="571"/>
        <w:gridCol w:w="346"/>
        <w:gridCol w:w="571"/>
        <w:gridCol w:w="346"/>
        <w:gridCol w:w="721"/>
      </w:tblGrid>
      <w:tr>
        <w:trPr/>
        <w:tc>
          <w:tcPr>
            <w:tcW w:w="28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810385" cy="175260"/>
                      <wp:effectExtent l="0" t="0" r="0" b="0"/>
                      <wp:wrapNone/>
                      <wp:docPr id="253" name="Frame246"/>
                      <a:graphic xmlns:a="http://schemas.openxmlformats.org/drawingml/2006/main">
                        <a:graphicData uri="http://schemas.microsoft.com/office/word/2010/wordprocessingShape">
                          <wps:wsp>
                            <wps:cNvSpPr txBox="1"/>
                            <wps:spPr>
                              <a:xfrm>
                                <a:off x="0" y="0"/>
                                <a:ext cx="1810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362585" cy="175260"/>
                      <wp:effectExtent l="0" t="0" r="0" b="0"/>
                      <wp:wrapNone/>
                      <wp:docPr id="255" name="Frame24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19710" cy="175260"/>
                      <wp:effectExtent l="0" t="0" r="0" b="0"/>
                      <wp:wrapNone/>
                      <wp:docPr id="256" name="Frame24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362585" cy="175260"/>
                      <wp:effectExtent l="0" t="0" r="0" b="0"/>
                      <wp:wrapNone/>
                      <wp:docPr id="257" name="Frame25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457835" cy="175260"/>
                      <wp:effectExtent l="0" t="0" r="0" b="0"/>
                      <wp:wrapNone/>
                      <wp:docPr id="259" name="Frame252"/>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5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 of Liabilities (in EUR 000)</w:t>
            </w:r>
          </w:p>
        </w:tc>
        <w:tc>
          <w:tcPr>
            <w:tcW w:w="346" w:type="dxa"/>
            <w:tcBorders/>
            <w:vAlign w:val="center"/>
          </w:tcPr>
          <w:p>
            <w:pPr>
              <w:pStyle w:val="TableContents"/>
              <w:bidi w:val="0"/>
              <w:spacing w:before="0" w:after="0"/>
              <w:ind w:left="0" w:right="0" w:hanging="0"/>
              <w:jc w:val="center"/>
              <w:rPr/>
            </w:pPr>
            <w:r>
              <w:rPr/>
              <w:t>​</w:t>
            </w:r>
          </w:p>
        </w:tc>
        <w:tc>
          <w:tcPr>
            <w:tcW w:w="25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Variation of revenue projections</w:t>
            </w:r>
          </w:p>
        </w:tc>
      </w:tr>
      <w:tr>
        <w:trPr/>
        <w:tc>
          <w:tcPr>
            <w:tcW w:w="2851" w:type="dxa"/>
            <w:tcBorders>
              <w:bottom w:val="single" w:sz="2" w:space="0" w:color="000000"/>
            </w:tcBorders>
            <w:tcMar>
              <w:bottom w:w="28" w:type="dxa"/>
            </w:tcMar>
            <w:vAlign w:val="center"/>
          </w:tcPr>
          <w:p>
            <w:pPr>
              <w:pStyle w:val="TableContents"/>
              <w:pBdr/>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Variation of discount rates *</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-25%</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0%</w:t>
            </w:r>
          </w:p>
        </w:tc>
        <w:tc>
          <w:tcPr>
            <w:tcW w:w="346" w:type="dxa"/>
            <w:tcBorders/>
            <w:vAlign w:val="center"/>
          </w:tcPr>
          <w:p>
            <w:pPr>
              <w:pStyle w:val="TableContents"/>
              <w:bidi w:val="0"/>
              <w:spacing w:before="0" w:after="0"/>
              <w:ind w:left="0" w:right="0" w:hanging="0"/>
              <w:jc w:val="center"/>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25%</w:t>
            </w:r>
          </w:p>
        </w:tc>
      </w:tr>
      <w:tr>
        <w:trPr/>
        <w:tc>
          <w:tcPr>
            <w:tcW w:w="2851"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9,372</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9,817</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10,106</w:t>
            </w:r>
          </w:p>
        </w:tc>
      </w:tr>
      <w:tr>
        <w:trPr/>
        <w:tc>
          <w:tcPr>
            <w:tcW w:w="2851" w:type="dxa"/>
            <w:tcBorders/>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0%</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8,531</w:t>
            </w:r>
          </w:p>
        </w:tc>
        <w:tc>
          <w:tcPr>
            <w:tcW w:w="34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9,051</w:t>
            </w:r>
          </w:p>
        </w:tc>
        <w:tc>
          <w:tcPr>
            <w:tcW w:w="34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9,398</w:t>
            </w:r>
          </w:p>
        </w:tc>
      </w:tr>
      <w:tr>
        <w:trPr/>
        <w:tc>
          <w:tcPr>
            <w:tcW w:w="2851" w:type="dxa"/>
            <w:tcBorders/>
            <w:shd w:fill="CCEEFF" w:val="clear"/>
            <w:vAlign w:val="center"/>
          </w:tcPr>
          <w:p>
            <w:pPr>
              <w:pStyle w:val="TableContents"/>
              <w:pBdr/>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7,808</w:t>
            </w:r>
          </w:p>
        </w:tc>
        <w:tc>
          <w:tcPr>
            <w:tcW w:w="34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8,380</w:t>
            </w:r>
          </w:p>
        </w:tc>
        <w:tc>
          <w:tcPr>
            <w:tcW w:w="34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8,770</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 xml:space="preserve">A change of </w:t>
            </w:r>
            <w:r>
              <w:rPr>
                <w:rFonts w:ascii="Times New Roman;Times;serif" w:hAnsi="Times New Roman;Times;serif"/>
                <w:b w:val="false"/>
                <w:i w:val="false"/>
                <w:caps w:val="false"/>
                <w:smallCaps w:val="false"/>
                <w:sz w:val="20"/>
              </w:rPr>
              <w:t>-25%</w:t>
            </w:r>
            <w:r>
              <w:rPr>
                <w:rFonts w:ascii="Times New Roman;Times;serif" w:hAnsi="Times New Roman;Times;serif"/>
                <w:sz w:val="20"/>
              </w:rPr>
              <w:t xml:space="preserve"> in the discount rates implies that the discount rate used for the fixed part of the recoverable cash advances is 3.8% instead of 5% while the one used for the variable part is 9.4% instead of 12.5%.</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increase of 25% of revenue projections implies, if discount rates does not change, an increase of the expected liability as repayment of the liability is accelerated.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 increase of 25% of the discount rate decreases the expected liability if revenue projections remain unchanged.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18.2.   Financial debt related to loan facility agreement and synthetic warrants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July 3, 2024 the Company has signed a €37.5 million loan facility agreement with the European Investment Bank (“EIB”). The agreement is backed by the European Commission’s InvestEU program. The Company plans to use the funding for research and development, and for scaling-up its manufacturing capacity to meet demand in Europe and the U.S. The €37.5 million facility is divided into three tranches: €10 million for the first tranche (“Tranche A”), €13.75 million for the second tranche (“Tranche B”) and €13.75 million for the third tranche (“Tranche C”). Disbursement under the various tranches is subject to certain conditions. The various tranches do not contain revenue or liquidity covenants.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380" w:name="Tc_5RCp5G4P5EyaAUF-S6aU4g_8_0"/>
      <w:bookmarkStart w:id="1381" w:name="Tc_2uaOFCbG6EW7ghUdFqTlCA_7_0"/>
      <w:bookmarkStart w:id="1382" w:name="Tc_nWhtDTPCkUusNH7pIlETAw_6_0"/>
      <w:bookmarkStart w:id="1383" w:name="Tc_rNXbx0wyYEuBle_BJJIozQ_5_0"/>
      <w:bookmarkStart w:id="1384" w:name="Tc_F_9ApkWMaECulRu2kLep_A_4_0"/>
      <w:bookmarkStart w:id="1385" w:name="Tc_eTcI_wyRoU2NlZPVljd6gg_3_0"/>
      <w:bookmarkStart w:id="1386" w:name="Tc_-9Oi791mD0622C6FjQE1GQ_2_2"/>
      <w:bookmarkStart w:id="1387" w:name="Tc_pubRbH98CEG7kzHrm4ExLg_2_0"/>
      <w:bookmarkStart w:id="1388" w:name="Tc_-0MsjtL97kKuB02aldJVVA_1_2"/>
      <w:bookmarkStart w:id="1389" w:name="Tc_c_mGYfqVA0SrpenPYNbl1Q_1_0"/>
      <w:bookmarkStart w:id="1390" w:name="_20db050c_160c_439d_9a3d_345b1b5e5178"/>
      <w:bookmarkStart w:id="1391" w:name="Tc_Uavq3DUsIk2B7A3tnrztjg_4_0"/>
      <w:bookmarkStart w:id="1392" w:name="Tc_38pUwWPUVEmry3MkriXOeg_3_0"/>
      <w:bookmarkStart w:id="1393" w:name="Tc_MvDX8JCuGUSmY-ojK1m_2Q_2_0"/>
      <w:bookmarkStart w:id="1394" w:name="Tc_8KtYWCdZL0qLcQcBSgy-Eg_1_4"/>
      <w:bookmarkStart w:id="1395" w:name="Tc_9Axll5_0qU6gdIbEzqAg8w_1_2"/>
      <w:bookmarkStart w:id="1396" w:name="Tc_oNrqA4OC1ki8vsrcoT89hw_1_0"/>
      <w:bookmarkStart w:id="1397" w:name="_9e32f5a2_1974_42b8_8dd1_1ef40fde078a"/>
      <w:bookmarkStart w:id="1398" w:name="Tc_vag4DO7Wp0yowmhjiTjKdA_4_0"/>
      <w:bookmarkStart w:id="1399" w:name="Tc_3fBSdbQlwEqUHQXWvuCLkA_3_0"/>
      <w:bookmarkStart w:id="1400" w:name="Tc_1i-UiPzFA0-sTV4nhD3vzQ_2_0"/>
      <w:bookmarkStart w:id="1401" w:name="Tc_ELti-0OcOE2fhtlDd4-g8Q_1_4"/>
      <w:bookmarkStart w:id="1402" w:name="Tc_jD2KtU5xFES78b6FZ67-dQ_1_2"/>
      <w:bookmarkStart w:id="1403" w:name="Tc_foz3hfKB50mv8dI6x_rsUg_1_0"/>
      <w:bookmarkStart w:id="1404" w:name="_1f49c95a_2014_4772_8d03_052b8e5530bf"/>
      <w:bookmarkStart w:id="1405" w:name="Tc_tLPDDUvkSUGXj-3OdNhL1A_4_0"/>
      <w:bookmarkStart w:id="1406" w:name="Tc_7Nt3lHO8WEK_3RQXv60qZA_3_0"/>
      <w:bookmarkStart w:id="1407" w:name="Tc_WZlUtbFCnkOUQ9tXeQBXxQ_2_0"/>
      <w:bookmarkStart w:id="1408" w:name="Tc_V6DSAqWLKkKPp__EVztC4w_1_4"/>
      <w:bookmarkStart w:id="1409" w:name="Tc_K9o6FzU2pUutq_xg_zRa3Q_1_2"/>
      <w:bookmarkStart w:id="1410" w:name="Tc_kOuKAmCnoUmipiL_tJPZIw_1_0"/>
      <w:bookmarkStart w:id="1411" w:name="_58e7f3a1_2877_419f_b129_796298c734e1"/>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bookmarkEnd w:id="1408"/>
      <w:bookmarkEnd w:id="1409"/>
      <w:bookmarkEnd w:id="1410"/>
      <w:bookmarkEnd w:id="1411"/>
      <w:r>
        <w:rPr>
          <w:rFonts w:ascii="Times New Roman;Times;serif" w:hAnsi="Times New Roman;Times;serif"/>
          <w:sz w:val="20"/>
        </w:rPr>
        <w:t>The first tranche A for an amount of €10 million, was disbursed on July 26, 2024. Tranche A carries an annual 5% cash and 5% capitalized interest rate, and features a five-year bullet repayment schedule.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second tranche B for an amount of €13.75 million, was disbursed on June 17, 2026. Tranche B carries an annual 4% cash and 4% capitalized interest rate, and features a five-year bullet repayment schedule.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connection with the loan facility agreement, and as a condition to drawdown thereunder, the Company also entered into a “synthetic warrant agreement” with the EIB. Under the synthetic warrant agreement, in consideration for the facility, in connection with each tranche of the facility, the EIB will be granted “synthetic warrants” with a duration of 20 years. The number and strike price of the synthetic warrants will be calculated based on tranche specific formulas provided for in the synthetic warrant agreement. The synthetic warrants can be exercised as of the maturity date of the relevant tranche of the facility or, in exceptional situations, earlier. Such synthetic warrants will entitle the EIB to receive from the Company a cash consideration equal to the 20-day volume weighted average price of a share in the Company on the stock exchange, reduced by the applicable strike price per synthetic warrant, and multiplied by the number of synthetic warrants that the EIB exercises. In connection with Tranche A, the EIB has been granted 468,384 synthetic warrants with a strike price of </w:t>
      </w:r>
      <w:r>
        <w:rPr>
          <w:rFonts w:ascii="Times New Roman;Times;serif" w:hAnsi="Times New Roman;Times;serif"/>
          <w:caps w:val="false"/>
          <w:smallCaps w:val="false"/>
          <w:sz w:val="20"/>
        </w:rPr>
        <w:t>€</w:t>
      </w:r>
      <w:r>
        <w:rPr>
          <w:rFonts w:ascii="Times New Roman;Times;serif" w:hAnsi="Times New Roman;Times;serif"/>
          <w:b w:val="false"/>
          <w:i w:val="false"/>
          <w:caps w:val="false"/>
          <w:smallCaps w:val="false"/>
          <w:sz w:val="20"/>
        </w:rPr>
        <w:t>8,54</w:t>
      </w:r>
      <w:r>
        <w:rPr>
          <w:rFonts w:ascii="Times New Roman;Times;serif" w:hAnsi="Times New Roman;Times;serif"/>
          <w:sz w:val="20"/>
        </w:rPr>
        <w:t xml:space="preserve"> that the EIB can exercise after the maturity of Tranche A (5 years) or, in exceptional situations, earlier. On June 12, 2026, as an anti-dilution protection, the number of synthetic warrants have increased to 2,702,703 and the strike price has decreased to €1.48. In connection with Tranche B, the EIB has been granted 2,101,492 synthetic warrants with a strike price of </w:t>
      </w:r>
      <w:r>
        <w:rPr>
          <w:rFonts w:ascii="Times New Roman;Times;serif" w:hAnsi="Times New Roman;Times;serif"/>
          <w:caps w:val="false"/>
          <w:smallCaps w:val="false"/>
          <w:sz w:val="20"/>
        </w:rPr>
        <w:t>€</w:t>
      </w:r>
      <w:r>
        <w:rPr>
          <w:rFonts w:ascii="Times New Roman;Times;serif" w:hAnsi="Times New Roman;Times;serif"/>
          <w:b w:val="false"/>
          <w:i w:val="false"/>
          <w:caps w:val="false"/>
          <w:smallCaps w:val="false"/>
          <w:sz w:val="20"/>
        </w:rPr>
        <w:t>2,01</w:t>
      </w:r>
      <w:r>
        <w:rPr>
          <w:rFonts w:ascii="Times New Roman;Times;serif" w:hAnsi="Times New Roman;Times;serif"/>
          <w:sz w:val="20"/>
        </w:rPr>
        <w:t xml:space="preserve"> that the EIB can exercise after the maturity of Tranche B (5 years) or, in exceptional situations, earlier.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 in loan facility for Tranche A can be summarized as follows:</w:t>
      </w:r>
    </w:p>
    <w:tbl>
      <w:tblPr>
        <w:tblW w:w="4730" w:type="dxa"/>
        <w:jc w:val="left"/>
        <w:tblInd w:w="0" w:type="dxa"/>
        <w:tblLayout w:type="fixed"/>
        <w:tblCellMar>
          <w:top w:w="0" w:type="dxa"/>
          <w:left w:w="0" w:type="dxa"/>
          <w:bottom w:w="0" w:type="dxa"/>
          <w:right w:w="0" w:type="dxa"/>
        </w:tblCellMar>
      </w:tblPr>
      <w:tblGrid>
        <w:gridCol w:w="2791"/>
        <w:gridCol w:w="346"/>
        <w:gridCol w:w="571"/>
        <w:gridCol w:w="346"/>
        <w:gridCol w:w="67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1772285" cy="175260"/>
                      <wp:effectExtent l="0" t="0" r="0" b="0"/>
                      <wp:wrapNone/>
                      <wp:docPr id="260" name="Frame253"/>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219710" cy="175260"/>
                      <wp:effectExtent l="0" t="0" r="0" b="0"/>
                      <wp:wrapNone/>
                      <wp:docPr id="261"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362585" cy="175260"/>
                      <wp:effectExtent l="0" t="0" r="0" b="0"/>
                      <wp:wrapNone/>
                      <wp:docPr id="262" name="Frame25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19710" cy="175260"/>
                      <wp:effectExtent l="0" t="0" r="0" b="0"/>
                      <wp:wrapNone/>
                      <wp:docPr id="263"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429260" cy="175260"/>
                      <wp:effectExtent l="0" t="0" r="0" b="0"/>
                      <wp:wrapNone/>
                      <wp:docPr id="264" name="Frame2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79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at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7,793</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6,898</w:t>
            </w:r>
          </w:p>
        </w:tc>
      </w:tr>
      <w:tr>
        <w:trPr/>
        <w:tc>
          <w:tcPr>
            <w:tcW w:w="279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 adjustment</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w:t>
            </w:r>
          </w:p>
        </w:tc>
      </w:tr>
      <w:tr>
        <w:trPr/>
        <w:tc>
          <w:tcPr>
            <w:tcW w:w="279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at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8,049</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7,093</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 in synthetic warrants for Tranche A can be summarized as follows:</w:t>
      </w:r>
    </w:p>
    <w:tbl>
      <w:tblPr>
        <w:tblW w:w="3815" w:type="dxa"/>
        <w:jc w:val="left"/>
        <w:tblInd w:w="0" w:type="dxa"/>
        <w:tblLayout w:type="fixed"/>
        <w:tblCellMar>
          <w:top w:w="0" w:type="dxa"/>
          <w:left w:w="0" w:type="dxa"/>
          <w:bottom w:w="0" w:type="dxa"/>
          <w:right w:w="0" w:type="dxa"/>
        </w:tblCellMar>
      </w:tblPr>
      <w:tblGrid>
        <w:gridCol w:w="1876"/>
        <w:gridCol w:w="346"/>
        <w:gridCol w:w="571"/>
        <w:gridCol w:w="346"/>
        <w:gridCol w:w="67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1191260" cy="175260"/>
                      <wp:effectExtent l="0" t="0" r="0" b="0"/>
                      <wp:wrapNone/>
                      <wp:docPr id="265" name="Frame258"/>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219710" cy="175260"/>
                      <wp:effectExtent l="0" t="0" r="0" b="0"/>
                      <wp:wrapNone/>
                      <wp:docPr id="266"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362585" cy="175260"/>
                      <wp:effectExtent l="0" t="0" r="0" b="0"/>
                      <wp:wrapNone/>
                      <wp:docPr id="267" name="Frame26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8" name="Frame2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429260" cy="175260"/>
                      <wp:effectExtent l="0" t="0" r="0" b="0"/>
                      <wp:wrapNone/>
                      <wp:docPr id="269" name="Frame26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at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1,601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3,204</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4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2,603</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(508)</w:t>
            </w:r>
          </w:p>
        </w:tc>
      </w:tr>
      <w:tr>
        <w:trPr/>
        <w:tc>
          <w:tcPr>
            <w:tcW w:w="18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at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4,204</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2,696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 in prepayment option for Tranche A can be summarized as follows:</w:t>
      </w:r>
    </w:p>
    <w:tbl>
      <w:tblPr>
        <w:tblW w:w="3620" w:type="dxa"/>
        <w:jc w:val="left"/>
        <w:tblInd w:w="0" w:type="dxa"/>
        <w:tblLayout w:type="fixed"/>
        <w:tblCellMar>
          <w:top w:w="0" w:type="dxa"/>
          <w:left w:w="0" w:type="dxa"/>
          <w:bottom w:w="0" w:type="dxa"/>
          <w:right w:w="0" w:type="dxa"/>
        </w:tblCellMar>
      </w:tblPr>
      <w:tblGrid>
        <w:gridCol w:w="1876"/>
        <w:gridCol w:w="346"/>
        <w:gridCol w:w="466"/>
        <w:gridCol w:w="346"/>
        <w:gridCol w:w="586"/>
      </w:tblGrid>
      <w:tr>
        <w:trPr/>
        <w:tc>
          <w:tcPr>
            <w:tcW w:w="18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191260" cy="175260"/>
                      <wp:effectExtent l="0" t="0" r="0" b="0"/>
                      <wp:wrapNone/>
                      <wp:docPr id="270" name="Frame263"/>
                      <a:graphic xmlns:a="http://schemas.openxmlformats.org/drawingml/2006/main">
                        <a:graphicData uri="http://schemas.microsoft.com/office/word/2010/wordprocessingShape">
                          <wps:wsp>
                            <wps:cNvSpPr txBox="1"/>
                            <wps:spPr>
                              <a:xfrm>
                                <a:off x="0" y="0"/>
                                <a:ext cx="1191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71" name="Frame2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95910" cy="175260"/>
                      <wp:effectExtent l="0" t="0" r="0" b="0"/>
                      <wp:wrapNone/>
                      <wp:docPr id="272" name="Frame26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219710" cy="175260"/>
                      <wp:effectExtent l="0" t="0" r="0" b="0"/>
                      <wp:wrapNone/>
                      <wp:docPr id="273" name="Frame2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72110" cy="175260"/>
                      <wp:effectExtent l="0" t="0" r="0" b="0"/>
                      <wp:wrapNone/>
                      <wp:docPr id="274" name="Frame267"/>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at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(91)</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(112)</w:t>
            </w:r>
          </w:p>
        </w:tc>
      </w:tr>
      <w:tr>
        <w:trPr/>
        <w:tc>
          <w:tcPr>
            <w:tcW w:w="18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346" w:type="dxa"/>
            <w:tcBorders/>
            <w:vAlign w:val="center"/>
          </w:tcPr>
          <w:p>
            <w:pPr>
              <w:pStyle w:val="TableContents"/>
              <w:bidi w:val="0"/>
              <w:spacing w:before="0" w:after="0"/>
              <w:ind w:left="0" w:right="0" w:hanging="0"/>
              <w:jc w:val="left"/>
              <w:rPr/>
            </w:pPr>
            <w:r>
              <w:rPr/>
              <w:t>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18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at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 in loan facility for Tranche B can be summarized as follows:</w:t>
      </w:r>
    </w:p>
    <w:tbl>
      <w:tblPr>
        <w:tblW w:w="5598" w:type="dxa"/>
        <w:jc w:val="left"/>
        <w:tblInd w:w="0" w:type="dxa"/>
        <w:tblLayout w:type="fixed"/>
        <w:tblCellMar>
          <w:top w:w="0" w:type="dxa"/>
          <w:left w:w="0" w:type="dxa"/>
          <w:bottom w:w="0" w:type="dxa"/>
          <w:right w:w="0" w:type="dxa"/>
        </w:tblCellMar>
      </w:tblPr>
      <w:tblGrid>
        <w:gridCol w:w="4471"/>
        <w:gridCol w:w="346"/>
        <w:gridCol w:w="78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839085" cy="175260"/>
                      <wp:effectExtent l="0" t="0" r="0" b="0"/>
                      <wp:wrapNone/>
                      <wp:docPr id="275" name="Frame268"/>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19710" cy="175260"/>
                      <wp:effectExtent l="0" t="0" r="0" b="0"/>
                      <wp:wrapNone/>
                      <wp:docPr id="276"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95935" cy="175260"/>
                      <wp:effectExtent l="0" t="0" r="0" b="0"/>
                      <wp:wrapNone/>
                      <wp:docPr id="277" name="Frame2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at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44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debt</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13,750</w:t>
            </w:r>
          </w:p>
        </w:tc>
      </w:tr>
      <w:tr>
        <w:trPr/>
        <w:tc>
          <w:tcPr>
            <w:tcW w:w="4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Transaction cost related to loans and borrowings</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44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Separation of non-closely related embedded derivates</w:t>
            </w:r>
          </w:p>
        </w:tc>
        <w:tc>
          <w:tcPr>
            <w:tcW w:w="346"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(3,005)</w:t>
            </w:r>
          </w:p>
        </w:tc>
      </w:tr>
      <w:tr>
        <w:trPr/>
        <w:tc>
          <w:tcPr>
            <w:tcW w:w="44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Subtotal: Initial recognition</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10,725</w:t>
            </w:r>
          </w:p>
        </w:tc>
      </w:tr>
      <w:tr>
        <w:trPr/>
        <w:tc>
          <w:tcPr>
            <w:tcW w:w="44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Effective interest rate adjustment</w:t>
            </w:r>
          </w:p>
        </w:tc>
        <w:tc>
          <w:tcPr>
            <w:tcW w:w="34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44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at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10,738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bookmarkStart w:id="1412" w:name="Tc_BOG3z8SDdE2VUaApQs3wdw_8_3"/>
      <w:bookmarkStart w:id="1413" w:name="Tc__qVlcbBMzEOUbcPuHCENiA_8_0"/>
      <w:bookmarkStart w:id="1414" w:name="Tc_dNU9vYmdjUWMnTFSK_YPUQ_7_3"/>
      <w:bookmarkStart w:id="1415" w:name="Tc_OEUUfY6Ny0uDxAGPARa-qA_7_0"/>
      <w:bookmarkStart w:id="1416" w:name="Tc_ayDKACxf8ky3qNmqs1_gUw_6_3"/>
      <w:bookmarkStart w:id="1417" w:name="Tc_3SjSDZLkTkubxx4RN16BAg_6_0"/>
      <w:bookmarkStart w:id="1418" w:name="Tc_Nz1uac6WX06PwOGgdR1Ynw_5_0"/>
      <w:bookmarkStart w:id="1419" w:name="Tc_4qjHR5w3EE2RzyyZdYcqYQ_4_0"/>
      <w:bookmarkStart w:id="1420" w:name="Tc_-oomwJnOpE-ZchYoD-epuQ_3_3"/>
      <w:bookmarkStart w:id="1421" w:name="Tc_zzYawdv2bkq5WQaK5khjWg_3_0"/>
      <w:bookmarkStart w:id="1422" w:name="Tc_eChmtSRbo0mJRZSnBFYczQ_2_2"/>
      <w:bookmarkStart w:id="1423" w:name="Tc_xuwtzokXWEemMw6qzgjb8A_1_2"/>
      <w:bookmarkStart w:id="1424" w:name="Tc_bQGJ1vPO50yElV3jLN14uw_4_0"/>
      <w:bookmarkStart w:id="1425" w:name="Tc_y8O-3BzJDkerJSaW1WZJjA_3_0"/>
      <w:bookmarkStart w:id="1426" w:name="Tc_bSAs5tY5F0O7USFgQBhXhQ_2_2"/>
      <w:bookmarkStart w:id="1427" w:name="Tc_lXIVgB90Ik6IIVuNKJDB3Q_2_0"/>
      <w:bookmarkStart w:id="1428" w:name="Tc_g8R9CYbtiEWm0mDD7tjH0Q_1_2"/>
      <w:bookmarkStart w:id="1429" w:name="Tc_DitvAZUrgkKTY_iA4V_isA_1_0"/>
      <w:bookmarkStart w:id="1430" w:name="_89ae784f_d64a_4174_bd01_b53c01e3715c"/>
      <w:bookmarkStart w:id="1431" w:name="Tc_bGpNTJNChEiXc9Q7X5NR0g_5_0"/>
      <w:bookmarkStart w:id="1432" w:name="Tc_m36qfXV6TU2Sf2FR0g_YyQ_4_0"/>
      <w:bookmarkStart w:id="1433" w:name="Tc_c1JlmXNOO0usJOXSpPFQDA_3_0"/>
      <w:bookmarkStart w:id="1434" w:name="Tc_wLTBNCiAxkSZfysBQcnDwQ_2_2"/>
      <w:bookmarkStart w:id="1435" w:name="Tc_IeHOiEZRQEuWweWFrSXzVw_2_0"/>
      <w:bookmarkStart w:id="1436" w:name="Tc_HeFFlEOfIE2y5AFFX9_cyQ_1_2"/>
      <w:bookmarkStart w:id="1437" w:name="Tc_yy1h5Ca-FkiOGBGOPsBN4Q_1_0"/>
      <w:bookmarkStart w:id="1438" w:name="_2e3404bb_ebbf_48e9_a231_4c6a96191665"/>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r>
        <w:rPr>
          <w:rFonts w:ascii="Times New Roman;Times;serif" w:hAnsi="Times New Roman;Times;serif"/>
          <w:sz w:val="20"/>
        </w:rPr>
        <w:t>Change in synthetic warrants for Tranche B can be summarized as follows:</w:t>
      </w:r>
    </w:p>
    <w:tbl>
      <w:tblPr>
        <w:tblW w:w="5493" w:type="dxa"/>
        <w:jc w:val="left"/>
        <w:tblInd w:w="0" w:type="dxa"/>
        <w:tblLayout w:type="fixed"/>
        <w:tblCellMar>
          <w:top w:w="0" w:type="dxa"/>
          <w:left w:w="0" w:type="dxa"/>
          <w:bottom w:w="0" w:type="dxa"/>
          <w:right w:w="0" w:type="dxa"/>
        </w:tblCellMar>
      </w:tblPr>
      <w:tblGrid>
        <w:gridCol w:w="4471"/>
        <w:gridCol w:w="346"/>
        <w:gridCol w:w="676"/>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839085" cy="175260"/>
                      <wp:effectExtent l="0" t="0" r="0" b="0"/>
                      <wp:wrapNone/>
                      <wp:docPr id="278" name="Frame271"/>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219710" cy="175260"/>
                      <wp:effectExtent l="0" t="0" r="0" b="0"/>
                      <wp:wrapNone/>
                      <wp:docPr id="279"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429260" cy="175260"/>
                      <wp:effectExtent l="0" t="0" r="0" b="0"/>
                      <wp:wrapNone/>
                      <wp:docPr id="280" name="Frame27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at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pPr>
            <w:r>
              <w:rPr/>
              <w:t>—</w:t>
            </w:r>
          </w:p>
        </w:tc>
      </w:tr>
      <w:tr>
        <w:trPr/>
        <w:tc>
          <w:tcPr>
            <w:tcW w:w="44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Separation of non-closely related embedded derivates</w:t>
            </w:r>
          </w:p>
        </w:tc>
        <w:tc>
          <w:tcPr>
            <w:tcW w:w="346"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r>
      <w:tr>
        <w:trPr/>
        <w:tc>
          <w:tcPr>
            <w:tcW w:w="4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4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r>
      <w:tr>
        <w:trPr/>
        <w:tc>
          <w:tcPr>
            <w:tcW w:w="447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at June 30</w:t>
            </w:r>
          </w:p>
        </w:tc>
        <w:tc>
          <w:tcPr>
            <w:tcW w:w="34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3,216</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Change in prepayment option for Tranche B can be summarized as follows:</w:t>
      </w:r>
    </w:p>
    <w:tbl>
      <w:tblPr>
        <w:tblW w:w="5328" w:type="dxa"/>
        <w:jc w:val="left"/>
        <w:tblInd w:w="0" w:type="dxa"/>
        <w:tblLayout w:type="fixed"/>
        <w:tblCellMar>
          <w:top w:w="0" w:type="dxa"/>
          <w:left w:w="0" w:type="dxa"/>
          <w:bottom w:w="0" w:type="dxa"/>
          <w:right w:w="0" w:type="dxa"/>
        </w:tblCellMar>
      </w:tblPr>
      <w:tblGrid>
        <w:gridCol w:w="4471"/>
        <w:gridCol w:w="346"/>
        <w:gridCol w:w="511"/>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839085" cy="175260"/>
                      <wp:effectExtent l="0" t="0" r="0" b="0"/>
                      <wp:wrapNone/>
                      <wp:docPr id="281" name="Frame274"/>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19710" cy="175260"/>
                      <wp:effectExtent l="0" t="0" r="0" b="0"/>
                      <wp:wrapNone/>
                      <wp:docPr id="282"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324485" cy="175260"/>
                      <wp:effectExtent l="0" t="0" r="0" b="0"/>
                      <wp:wrapNone/>
                      <wp:docPr id="283" name="Frame276"/>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44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at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shd w:fill="CCEEFF" w:val="clear"/>
            <w:vAlign w:val="center"/>
          </w:tcPr>
          <w:p>
            <w:pPr>
              <w:pStyle w:val="TableContents"/>
              <w:bidi w:val="0"/>
              <w:spacing w:before="0" w:after="0"/>
              <w:ind w:left="0" w:right="0" w:hanging="0"/>
              <w:jc w:val="right"/>
              <w:rPr/>
            </w:pPr>
            <w:r>
              <w:rPr/>
              <w:t>—</w:t>
            </w:r>
          </w:p>
        </w:tc>
      </w:tr>
      <w:tr>
        <w:trPr/>
        <w:tc>
          <w:tcPr>
            <w:tcW w:w="44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Separation of non-closely related embedded derivates</w:t>
            </w:r>
          </w:p>
        </w:tc>
        <w:tc>
          <w:tcPr>
            <w:tcW w:w="34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44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 at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18.3.   Financial debt related to Convertible Bond Instrument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November 13, 2025, the Company entered into a bond subscription agreement with an international financial services firm for the issuance of a Convertible Bond Instrument for an aggregate maximum principal amount of up to €45 million. The financing consists of a first tranche of 225 Convertible Bond Instruments up to €22.5 million with an option to issue a second tranche of another 225 Convertible Bond Instruments of up to €22.5 million at the Company’s discretion, within the period commencing 7 months following the first tranche closing date to (but excluding) the date falling one month thereafter. The closing for the first tranche of the Convertible Bond Instruments occurred on December 18, 2025 and will mature on November 18, 2028 (“First Tranche”). The First Tranche carry an interest rate of 6.5 per cent per annum, payable every quarter in arrears. The initial principal amount per Bond Instruments amounts to €100.000. The Bond Instruments have a three-year maturity from issuance with quarterly amortization payments of principal and interest (per 18 February, 18 May, 18 August and 18 November of each year). On each instalment date, the principal instalment per Bond Instrument will be €8.500 except for the last instalment which will be €6.500 per bond. The initial conversion price for the first tranche of bonds, which can be modified, shall be equal to €5.00. On June 9, 2026, as an anti-dilution protection, the conversion price has been reset to €1.48.</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Bond Instrument is accounted for as a hybrid financial instrument containing a host financial liability with embedded derivatives that are closely related (Deferred amortized payment) and embedded derivatives that are not closely related (Bond conversion right, Amortization conversion right, Share settlement option and Advanced amortized payment). The entire hybrid contract is designated by management at fair value through profit and loss. The fair value of the hybrid contract is estimated using a Longstaff–Schwartz Monte Carlo approach, in which share prices are simulated forward on a weekly basis over a 36-month horizon, with each instalment date treated as a decision point. At maturity, the model computes the terminal payoff, after which the valuation is performed by working backwards through time: at each decision point, the continuation value (i.e., the expected value of waiting rather than exercising) is obtained by discounting the value from the next decision point and is then estimated via regression on the simulated state variables. The model compares the immediate exercise value with the regression-based expected continuation value to determine the optimal exercising strategy, assuming exercise occurs whenever the value of exercising now exceeds the expected value of waiting, and the resulting optimal exercise strategy is used to derive the Bond Instruments’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valuation model is dependent on the following significant inputs:</w:t>
      </w:r>
    </w:p>
    <w:p>
      <w:pPr>
        <w:pStyle w:val="TextBody"/>
        <w:bidi w:val="0"/>
        <w:spacing w:before="0" w:after="0"/>
        <w:ind w:left="0" w:right="0" w:hanging="0"/>
        <w:jc w:val="left"/>
        <w:rPr/>
      </w:pPr>
      <w:r>
        <w:rPr/>
        <w:t>​</w:t>
      </w:r>
    </w:p>
    <w:tbl>
      <w:tblPr>
        <w:tblW w:w="3574" w:type="dxa"/>
        <w:jc w:val="left"/>
        <w:tblInd w:w="0" w:type="dxa"/>
        <w:tblLayout w:type="fixed"/>
        <w:tblCellMar>
          <w:top w:w="0" w:type="dxa"/>
          <w:left w:w="0" w:type="dxa"/>
          <w:bottom w:w="0" w:type="dxa"/>
          <w:right w:w="0" w:type="dxa"/>
        </w:tblCellMar>
      </w:tblPr>
      <w:tblGrid>
        <w:gridCol w:w="1891"/>
        <w:gridCol w:w="346"/>
        <w:gridCol w:w="1021"/>
        <w:gridCol w:w="316"/>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200785" cy="175260"/>
                      <wp:effectExtent l="0" t="0" r="0" b="0"/>
                      <wp:wrapNone/>
                      <wp:docPr id="284" name="Frame277"/>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335" cy="175260"/>
                      <wp:effectExtent l="0" t="0" r="0" b="0"/>
                      <wp:wrapNone/>
                      <wp:docPr id="286" name="Frame279"/>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00660" cy="175260"/>
                      <wp:effectExtent l="0" t="0" r="0" b="0"/>
                      <wp:wrapNone/>
                      <wp:docPr id="287" name="Frame28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June 30,</w:t>
            </w:r>
          </w:p>
        </w:tc>
        <w:tc>
          <w:tcPr>
            <w:tcW w:w="316" w:type="dxa"/>
            <w:tcBorders/>
            <w:vAlign w:val="center"/>
          </w:tcPr>
          <w:p>
            <w:pPr>
              <w:pStyle w:val="TableContents"/>
              <w:bidi w:val="0"/>
              <w:spacing w:before="0" w:after="0"/>
              <w:ind w:left="0" w:right="0" w:hanging="0"/>
              <w:jc w:val="center"/>
              <w:rPr/>
            </w:pPr>
            <w:r>
              <w:rPr/>
              <w:t> </w:t>
            </w:r>
          </w:p>
        </w:tc>
      </w:tr>
      <w:tr>
        <w:trPr/>
        <w:tc>
          <w:tcPr>
            <w:tcW w:w="18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16" w:type="dxa"/>
            <w:tcBorders/>
            <w:vAlign w:val="center"/>
          </w:tcPr>
          <w:p>
            <w:pPr>
              <w:pStyle w:val="TableContents"/>
              <w:bidi w:val="0"/>
              <w:spacing w:before="0" w:after="0"/>
              <w:ind w:left="0" w:right="0" w:hanging="0"/>
              <w:jc w:val="center"/>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Coupon (interest) rate</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price</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16" w:type="dxa"/>
            <w:tcBorders/>
            <w:vAlign w:val="center"/>
          </w:tcPr>
          <w:p>
            <w:pPr>
              <w:pStyle w:val="TableContents"/>
              <w:bidi w:val="0"/>
              <w:spacing w:before="0" w:after="0"/>
              <w:ind w:left="0" w:right="0" w:hanging="0"/>
              <w:jc w:val="left"/>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price</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Return dividend</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4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68.52</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11.16</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both"/>
        <w:rPr>
          <w:rFonts w:ascii="Times New Roman;Times;serif" w:hAnsi="Times New Roman;Times;serif"/>
          <w:sz w:val="20"/>
        </w:rPr>
      </w:pPr>
      <w:bookmarkStart w:id="1439" w:name="Tc_c-vMEYQU00W1hlL7BgyoDQ_10_0"/>
      <w:bookmarkStart w:id="1440" w:name="Tc_LM5i3VnnP0arIxptP6ktPA_9_0"/>
      <w:bookmarkStart w:id="1441" w:name="Tc_e0jFJDEOfkyg9mR77SkfHA_8_0"/>
      <w:bookmarkStart w:id="1442" w:name="Tc_xNuwtMvWrUeICmgnGIWisw_7_0"/>
      <w:bookmarkStart w:id="1443" w:name="Tc_UDKPTJLClkKp9S8IrTNvWg_6_0"/>
      <w:bookmarkStart w:id="1444" w:name="Tc_CmnXQcDYSECd4b8cgq_k-w_5_0"/>
      <w:bookmarkStart w:id="1445" w:name="Tc_U36_729ahkSQLKj09Zxa8g_4_0"/>
      <w:bookmarkStart w:id="1446" w:name="Tc_Lkky1kiKok-6exTfSoQ1TA_3_0"/>
      <w:bookmarkStart w:id="1447" w:name="Tc_aAtRyHcKnUmnI9eeFFwKlw_2_2"/>
      <w:bookmarkStart w:id="1448" w:name="Tc_Nr6f8Ga09UqyC9S-xPhF4w_2_0"/>
      <w:bookmarkStart w:id="1449" w:name="Tc_qjq8ZbbbhkOns3x-jBJHQg_1_2"/>
      <w:bookmarkEnd w:id="1439"/>
      <w:bookmarkEnd w:id="1440"/>
      <w:bookmarkEnd w:id="1441"/>
      <w:bookmarkEnd w:id="1442"/>
      <w:bookmarkEnd w:id="1443"/>
      <w:bookmarkEnd w:id="1444"/>
      <w:bookmarkEnd w:id="1445"/>
      <w:bookmarkEnd w:id="1446"/>
      <w:bookmarkEnd w:id="1447"/>
      <w:bookmarkEnd w:id="1448"/>
      <w:bookmarkEnd w:id="1449"/>
      <w:r>
        <w:rPr>
          <w:rFonts w:ascii="Times New Roman;Times;serif" w:hAnsi="Times New Roman;Times;serif"/>
          <w:sz w:val="20"/>
        </w:rPr>
        <w:t>The expected volatility has been estimated based on the historical share prices of the Company on Euronext (as this is the primary stock exchange as determined in the Bond Subscription Agreement). The discount rate is determined based on a risk-free interest rate, based on the 3-month Euribor rate, plus a credit spread estimated for the Company based on the previous debt instruments and factors such as financial results, liquidity needs that may impact the credit spread of the Company.</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transaction price of the Bond Instrument at initial recognition is the consideration of the first tranche for €22.5 million. The difference between the transaction price and the fair value at initial recognition is considered a ‘day 1’ loss, amounting to €8.7 million, which is recognized in profit and loss on a systematic straight line basis throughout the term of the Bond Instrument.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Change in the convertible bond can be summarized as follows:</w:t>
      </w:r>
    </w:p>
    <w:p>
      <w:pPr>
        <w:pStyle w:val="TextBody"/>
        <w:bidi w:val="0"/>
        <w:spacing w:before="0" w:after="0"/>
        <w:ind w:left="0" w:right="0" w:hanging="0"/>
        <w:jc w:val="left"/>
        <w:rPr/>
      </w:pPr>
      <w:r>
        <w:rPr/>
        <w:t>​</w:t>
      </w:r>
    </w:p>
    <w:tbl>
      <w:tblPr>
        <w:tblW w:w="4608" w:type="dxa"/>
        <w:jc w:val="left"/>
        <w:tblInd w:w="0" w:type="dxa"/>
        <w:tblLayout w:type="fixed"/>
        <w:tblCellMar>
          <w:top w:w="0" w:type="dxa"/>
          <w:left w:w="0" w:type="dxa"/>
          <w:bottom w:w="0" w:type="dxa"/>
          <w:right w:w="0" w:type="dxa"/>
        </w:tblCellMar>
      </w:tblPr>
      <w:tblGrid>
        <w:gridCol w:w="3196"/>
        <w:gridCol w:w="346"/>
        <w:gridCol w:w="106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29460" cy="175260"/>
                      <wp:effectExtent l="0" t="0" r="0" b="0"/>
                      <wp:wrapNone/>
                      <wp:docPr id="288" name="Frame281"/>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219710" cy="175260"/>
                      <wp:effectExtent l="0" t="0" r="0" b="0"/>
                      <wp:wrapNone/>
                      <wp:docPr id="289" name="Frame2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76910" cy="175260"/>
                      <wp:effectExtent l="0" t="0" r="0" b="0"/>
                      <wp:wrapNone/>
                      <wp:docPr id="290" name="Frame283"/>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 June 30,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 at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31,243</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w:t>
            </w:r>
          </w:p>
        </w:tc>
        <w:tc>
          <w:tcPr>
            <w:tcW w:w="346" w:type="dxa"/>
            <w:tcBorders/>
            <w:vAlign w:val="center"/>
          </w:tcPr>
          <w:p>
            <w:pPr>
              <w:pStyle w:val="TableContents"/>
              <w:bidi w:val="0"/>
              <w:spacing w:before="0" w:after="0"/>
              <w:ind w:left="0" w:right="0" w:hanging="0"/>
              <w:jc w:val="left"/>
              <w:rPr/>
            </w:pPr>
            <w:r>
              <w:rPr/>
              <w:t> </w:t>
            </w:r>
          </w:p>
        </w:tc>
        <w:tc>
          <w:tcPr>
            <w:tcW w:w="10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Conversion to shares</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(4,406)</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fair value</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29,438</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Day 1 loss at December 31, 2025</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(8,586)</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day 1 loss as at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(7,110)</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convertible bond as at June 30</w:t>
            </w:r>
          </w:p>
        </w:tc>
        <w:tc>
          <w:tcPr>
            <w:tcW w:w="346" w:type="dxa"/>
            <w:tcBorders/>
            <w:vAlign w:val="center"/>
          </w:tcPr>
          <w:p>
            <w:pPr>
              <w:pStyle w:val="TableContents"/>
              <w:bidi w:val="0"/>
              <w:spacing w:before="0" w:after="0"/>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22,328</w:t>
            </w:r>
          </w:p>
        </w:tc>
      </w:tr>
    </w:tbl>
    <w:p>
      <w:pPr>
        <w:pStyle w:val="TextBody"/>
        <w:bidi w:val="0"/>
        <w:spacing w:before="0" w:after="0"/>
        <w:ind w:left="0" w:right="0" w:hanging="0"/>
        <w:jc w:val="both"/>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Per March 2, 2026, the Company has converted the first principal instalment of €1.9 million and accrued interest for €246,000 into shares at a conversion price which was 90% of the share price at instalment date. Refer to note 16.</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Per May 20, 2026, the Company has converted the second principal instalment of €1.9 million and accrued interest for €335,000 into shares at a conversion price which was 90% of the share price at instalment date. Refer to note 16.</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fair value loss for the six months ended June 30, 2026 is mainly resulting from the conversion price reset per June 9, 2026, partly mitigated by the decrease in stock price in 2026. Refer to note 27.</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bookmarkStart w:id="1450" w:name="Tc_1HQKragoNEC7CQcol_3S4g_5_0"/>
      <w:bookmarkStart w:id="1451" w:name="Tc_zHD-MCbuZkWIb8sGCrjylg_4_0"/>
      <w:bookmarkStart w:id="1452" w:name="Tc_MhGq65Qsy0KkCrGOt9dBww_3_0"/>
      <w:bookmarkStart w:id="1453" w:name="Tc_XQ5D9ikp5UCMurj7INGT-Q_2_4"/>
      <w:bookmarkStart w:id="1454" w:name="Tc_XaiXJMlBSUqtTiiuxlYbOw_2_2"/>
      <w:bookmarkStart w:id="1455" w:name="Tc_Ber2kY-oUkOlAOlWp0QKTA_2_0"/>
      <w:bookmarkStart w:id="1456" w:name="Tc_aWMWfQntL0Gxbq1CAT0BNQ_1_4"/>
      <w:bookmarkStart w:id="1457" w:name="Tc_F3A5txNdiEiPeDtroRbxsA_1_2"/>
      <w:bookmarkStart w:id="1458" w:name="a19Provisions_668041"/>
      <w:bookmarkEnd w:id="1450"/>
      <w:bookmarkEnd w:id="1451"/>
      <w:bookmarkEnd w:id="1452"/>
      <w:bookmarkEnd w:id="1453"/>
      <w:bookmarkEnd w:id="1454"/>
      <w:bookmarkEnd w:id="1455"/>
      <w:bookmarkEnd w:id="1456"/>
      <w:bookmarkEnd w:id="1457"/>
      <w:bookmarkEnd w:id="1458"/>
      <w:r>
        <w:rPr>
          <w:rFonts w:ascii="Times New Roman;Times;serif" w:hAnsi="Times New Roman;Times;serif"/>
          <w:b/>
          <w:i w:val="false"/>
          <w:caps w:val="false"/>
          <w:smallCaps w:val="false"/>
          <w:sz w:val="20"/>
        </w:rPr>
        <w:t>19.</w:t>
      </w:r>
      <w:r>
        <w:rPr>
          <w:rFonts w:ascii="Times New Roman;Times;serif" w:hAnsi="Times New Roman;Times;serif"/>
          <w:b/>
          <w:sz w:val="20"/>
        </w:rPr>
        <w:t>Provisions</w:t>
      </w:r>
    </w:p>
    <w:p>
      <w:pPr>
        <w:pStyle w:val="TextBody"/>
        <w:bidi w:val="0"/>
        <w:spacing w:before="0" w:after="0"/>
        <w:ind w:left="0" w:right="0" w:hanging="0"/>
        <w:jc w:val="left"/>
        <w:rPr/>
      </w:pPr>
      <w:r>
        <w:rPr/>
        <w:t>​</w:t>
      </w:r>
    </w:p>
    <w:tbl>
      <w:tblPr>
        <w:tblW w:w="6515" w:type="dxa"/>
        <w:jc w:val="left"/>
        <w:tblInd w:w="0" w:type="dxa"/>
        <w:tblLayout w:type="fixed"/>
        <w:tblCellMar>
          <w:top w:w="0" w:type="dxa"/>
          <w:left w:w="0" w:type="dxa"/>
          <w:bottom w:w="0" w:type="dxa"/>
          <w:right w:w="0" w:type="dxa"/>
        </w:tblCellMar>
      </w:tblPr>
      <w:tblGrid>
        <w:gridCol w:w="3121"/>
        <w:gridCol w:w="346"/>
        <w:gridCol w:w="1141"/>
        <w:gridCol w:w="346"/>
        <w:gridCol w:w="1561"/>
      </w:tblGrid>
      <w:tr>
        <w:trPr/>
        <w:tc>
          <w:tcPr>
            <w:tcW w:w="3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1981835" cy="175260"/>
                      <wp:effectExtent l="0" t="0" r="0" b="0"/>
                      <wp:wrapNone/>
                      <wp:docPr id="291" name="Frame284"/>
                      <a:graphic xmlns:a="http://schemas.openxmlformats.org/drawingml/2006/main">
                        <a:graphicData uri="http://schemas.microsoft.com/office/word/2010/wordprocessingShape">
                          <wps:wsp>
                            <wps:cNvSpPr txBox="1"/>
                            <wps:spPr>
                              <a:xfrm>
                                <a:off x="0" y="0"/>
                                <a:ext cx="1981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19710" cy="175260"/>
                      <wp:effectExtent l="0" t="0" r="0" b="0"/>
                      <wp:wrapNone/>
                      <wp:docPr id="292"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24535" cy="175260"/>
                      <wp:effectExtent l="0" t="0" r="0" b="0"/>
                      <wp:wrapNone/>
                      <wp:docPr id="293" name="Frame28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991235" cy="175260"/>
                      <wp:effectExtent l="0" t="0" r="0" b="0"/>
                      <wp:wrapNone/>
                      <wp:docPr id="295" name="Frame288"/>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 June 30,</w:t>
            </w:r>
          </w:p>
        </w:tc>
        <w:tc>
          <w:tcPr>
            <w:tcW w:w="346" w:type="dxa"/>
            <w:tcBorders/>
            <w:vAlign w:val="center"/>
          </w:tcPr>
          <w:p>
            <w:pPr>
              <w:pStyle w:val="TableContents"/>
              <w:bidi w:val="0"/>
              <w:spacing w:before="0" w:after="0"/>
              <w:ind w:left="0" w:right="0" w:hanging="0"/>
              <w:jc w:val="center"/>
              <w:rPr/>
            </w:pPr>
            <w:r>
              <w:rPr/>
              <w:t>  ​ ​ ​</w:t>
            </w:r>
          </w:p>
        </w:tc>
        <w:tc>
          <w:tcPr>
            <w:tcW w:w="15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 December 31,</w:t>
            </w:r>
          </w:p>
        </w:tc>
      </w:tr>
      <w:tr>
        <w:trPr/>
        <w:tc>
          <w:tcPr>
            <w:tcW w:w="31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1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constructive obligation</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1,206</w:t>
            </w:r>
          </w:p>
        </w:tc>
      </w:tr>
      <w:tr>
        <w:trPr/>
        <w:tc>
          <w:tcPr>
            <w:tcW w:w="312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provisions</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w:t>
            </w:r>
          </w:p>
        </w:tc>
      </w:tr>
      <w:tr>
        <w:trPr/>
        <w:tc>
          <w:tcPr>
            <w:tcW w:w="31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provisions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1,022</w:t>
            </w:r>
          </w:p>
        </w:tc>
        <w:tc>
          <w:tcPr>
            <w:tcW w:w="346" w:type="dxa"/>
            <w:tcBorders/>
            <w:shd w:fill="CCEEFF" w:val="clear"/>
            <w:vAlign w:val="center"/>
          </w:tcPr>
          <w:p>
            <w:pPr>
              <w:pStyle w:val="TableContents"/>
              <w:bidi w:val="0"/>
              <w:spacing w:before="0" w:after="0"/>
              <w:ind w:left="0" w:right="0" w:hanging="0"/>
              <w:jc w:val="left"/>
              <w:rPr/>
            </w:pPr>
            <w:r>
              <w:rPr/>
              <w:t> </w:t>
            </w:r>
          </w:p>
        </w:tc>
        <w:tc>
          <w:tcPr>
            <w:tcW w:w="156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1,396</w:t>
            </w:r>
          </w:p>
        </w:tc>
      </w:tr>
    </w:tbl>
    <w:p>
      <w:pPr>
        <w:pStyle w:val="TextBody"/>
        <w:bidi w:val="0"/>
        <w:spacing w:before="0" w:after="0"/>
        <w:ind w:left="0" w:right="0" w:hanging="0"/>
        <w:jc w:val="left"/>
        <w:rPr/>
      </w:pPr>
      <w:r>
        <w:rPr/>
        <w: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 has a constructive obligation related to the ongoing replenishment of certain consumable components, based on business practices and customer expectations.</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May 30, 2025, the Company was sued in the U.S. District Court of Delaware by Inspire Medical, Inc. (“Inspire”) for the alleged infringement of 3 Inspire patents (US Patent Nos: 10,898,709, 11,806,526, and 11,850,424). The complaint requests customary remedies for patent infringement, including (i) a judgment that the Company has infringed and is infringing the Inspire Patents, (ii) damages, (iii) attorneys’ fees, (iv) a permanent injunction preventing the Company from infringing the Inspire Patents and (v) costs and expenses. The Company subsequently engaged counsel to represent the Company in this case. The Company intends to vigorously defend itself against the allegations brought forward in the Inspire complaint.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September 15, 2025, the Company has filed a lawsuit against Inspire in the U.S. District Court of Delaware for the alleged infringement of 3 Nyxoah patents (US Patent Nos: 8,700,183, 9,415,215, and 9,415,216). The complaint requests customary remedies for patent infringement, including (i) a judgment that Inspire has infringed and is infringing the Nyxoah Patents, (ii) damages, (iii) attorneys’ fees, (iv) a permanent injunction preventing Inspire from infringing the Company’s patents and (v) costs and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Given the early stage of this litigation, the Company is unable to predict the likelihood of success of the Inspire claims against the Company or to quantify any risk of loss. Therefore, the Company has not accrued for any potential litigation losses as of June 30, 2026. Legal costs incurred in connection with this matter have been accrued through June 30, 2026, and are recognized in the Selling, General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and Administrative Expense on the line item “Legal fees”. The company reviews the status of the litigation each quarter going forward for accrual purposes.</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459" w:name="Tc_OAtPISQOfUqEMrgGKZasSw_6_0"/>
      <w:bookmarkStart w:id="1460" w:name="Tc_OtXHbN1uoEG_gzufx8NVKw_5_0"/>
      <w:bookmarkStart w:id="1461" w:name="Tc_gO9n2zu6PUSrnqEGTFp5dA_4_0"/>
      <w:bookmarkStart w:id="1462" w:name="Tc_7msUdqyBa0yIugbRT2gAQw_3_4"/>
      <w:bookmarkStart w:id="1463" w:name="Tc_awMiIVm5p0SajORwU6AcNQ_3_2"/>
      <w:bookmarkStart w:id="1464" w:name="Tc_PhItEY_LCEiXTwfmI0H-aw_3_0"/>
      <w:bookmarkStart w:id="1465" w:name="Tc_2wY7G4OKP0GIyy0oRvwFuw_2_4"/>
      <w:bookmarkStart w:id="1466" w:name="Tc_Ecih1ujxYE668x9cPCACNQ_2_2"/>
      <w:bookmarkStart w:id="1467" w:name="Tc_VTVuD9DI_UeTg3RjAS8TxA_1_2"/>
      <w:bookmarkStart w:id="1468" w:name="a18Tradepayables_3356"/>
      <w:bookmarkEnd w:id="1459"/>
      <w:bookmarkEnd w:id="1460"/>
      <w:bookmarkEnd w:id="1461"/>
      <w:bookmarkEnd w:id="1462"/>
      <w:bookmarkEnd w:id="1463"/>
      <w:bookmarkEnd w:id="1464"/>
      <w:bookmarkEnd w:id="1465"/>
      <w:bookmarkEnd w:id="1466"/>
      <w:bookmarkEnd w:id="1467"/>
      <w:bookmarkEnd w:id="1468"/>
      <w:r>
        <w:rPr>
          <w:rFonts w:ascii="Times New Roman;Times;serif" w:hAnsi="Times New Roman;Times;serif"/>
          <w:b/>
          <w:i w:val="false"/>
          <w:caps w:val="false"/>
          <w:smallCaps w:val="false"/>
          <w:sz w:val="20"/>
        </w:rPr>
        <w:t>20.</w:t>
      </w:r>
      <w:r>
        <w:rPr>
          <w:rFonts w:ascii="Times New Roman;Times;serif" w:hAnsi="Times New Roman;Times;serif"/>
          <w:b/>
          <w:sz w:val="20"/>
        </w:rPr>
        <w:t>Trade payables</w:t>
      </w:r>
    </w:p>
    <w:p>
      <w:pPr>
        <w:pStyle w:val="TextBody"/>
        <w:bidi w:val="0"/>
        <w:spacing w:before="0" w:after="0"/>
        <w:ind w:left="0" w:right="0" w:hanging="0"/>
        <w:jc w:val="left"/>
        <w:rPr/>
      </w:pPr>
      <w:r>
        <w:rPr/>
        <w:t>​</w:t>
      </w:r>
    </w:p>
    <w:tbl>
      <w:tblPr>
        <w:tblW w:w="4640" w:type="dxa"/>
        <w:jc w:val="left"/>
        <w:tblInd w:w="0" w:type="dxa"/>
        <w:tblLayout w:type="fixed"/>
        <w:tblCellMar>
          <w:top w:w="0" w:type="dxa"/>
          <w:left w:w="0" w:type="dxa"/>
          <w:bottom w:w="0" w:type="dxa"/>
          <w:right w:w="0" w:type="dxa"/>
        </w:tblCellMar>
      </w:tblPr>
      <w:tblGrid>
        <w:gridCol w:w="1996"/>
        <w:gridCol w:w="346"/>
        <w:gridCol w:w="766"/>
        <w:gridCol w:w="346"/>
        <w:gridCol w:w="1186"/>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1267460" cy="175260"/>
                      <wp:effectExtent l="0" t="0" r="0" b="0"/>
                      <wp:wrapNone/>
                      <wp:docPr id="296" name="Frame28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19710" cy="175260"/>
                      <wp:effectExtent l="0" t="0" r="0" b="0"/>
                      <wp:wrapNone/>
                      <wp:docPr id="297"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486410" cy="175260"/>
                      <wp:effectExtent l="0" t="0" r="0" b="0"/>
                      <wp:wrapNone/>
                      <wp:docPr id="298" name="Frame291"/>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9710" cy="175260"/>
                      <wp:effectExtent l="0" t="0" r="0" b="0"/>
                      <wp:wrapNone/>
                      <wp:docPr id="299" name="Frame2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753110" cy="175260"/>
                      <wp:effectExtent l="0" t="0" r="0" b="0"/>
                      <wp:wrapNone/>
                      <wp:docPr id="300" name="Frame293"/>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29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199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  ​ ​ ​</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Payables</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5,915</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5,168</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Invoices to be received</w:t>
            </w:r>
          </w:p>
        </w:tc>
        <w:tc>
          <w:tcPr>
            <w:tcW w:w="346"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6,723</w:t>
            </w:r>
          </w:p>
        </w:tc>
        <w:tc>
          <w:tcPr>
            <w:tcW w:w="34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8,559</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Trade payables</w:t>
            </w:r>
          </w:p>
        </w:tc>
        <w:tc>
          <w:tcPr>
            <w:tcW w:w="346"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12,638</w:t>
            </w:r>
          </w:p>
        </w:tc>
        <w:tc>
          <w:tcPr>
            <w:tcW w:w="34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13,727</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in total trade payables of €1.1 million as at June 30, 2026 is due to a decrease in invoices to be received of €1.8 million which is partly compensated by an increase in trade payables of €0.7 million.</w:t>
      </w:r>
    </w:p>
    <w:p>
      <w:pPr>
        <w:pStyle w:val="TextBody"/>
        <w:bidi w:val="0"/>
        <w:spacing w:before="0" w:after="240"/>
        <w:ind w:left="0" w:right="0" w:hanging="0"/>
        <w:jc w:val="left"/>
        <w:rPr>
          <w:rFonts w:ascii="Times New Roman;Times;serif" w:hAnsi="Times New Roman;Times;serif"/>
          <w:b/>
          <w:sz w:val="20"/>
        </w:rPr>
      </w:pPr>
      <w:bookmarkStart w:id="1469" w:name="Tc_HjSfFY5r9UuMLKQAGQYVrw_6_0"/>
      <w:bookmarkStart w:id="1470" w:name="Tc_zLb-sksBLUSFcF5d5GI3Fw_5_0"/>
      <w:bookmarkStart w:id="1471" w:name="Tc_oGEnRgl6DkeJ3ykmrSWTjw_4_0"/>
      <w:bookmarkStart w:id="1472" w:name="Tc_fWx_PkSnxEOwV88MwS00Rw_3_8"/>
      <w:bookmarkStart w:id="1473" w:name="Tc_0CKv2Gdg4k6fUD5ojtkGXQ_3_6"/>
      <w:bookmarkStart w:id="1474" w:name="Tc_CvKrxg6oIEuXRtH9f5_rgQ_3_4"/>
      <w:bookmarkStart w:id="1475" w:name="Tc_DG7E7BS6JUGqbVZwL2XKow_3_2"/>
      <w:bookmarkStart w:id="1476" w:name="Tc_2jK7jnbznUqo6D8jleLszA_3_0"/>
      <w:bookmarkStart w:id="1477" w:name="Tc_04Crme6aKEioeWzefNjFDg_2_6"/>
      <w:bookmarkStart w:id="1478" w:name="Tc_5kAUfQqMpkSl4Pc37PiWtw_2_2"/>
      <w:bookmarkStart w:id="1479" w:name="Tc_Ge6q-0qDhEWz2Hmao9-BHQ_1_6"/>
      <w:bookmarkStart w:id="1480" w:name="Tc_zzDOXrttoky3vDs79oxKCg_1_2"/>
      <w:bookmarkStart w:id="1481" w:name="a19Incometaxesanddeferredtaxes_679792"/>
      <w:bookmarkEnd w:id="1469"/>
      <w:bookmarkEnd w:id="1470"/>
      <w:bookmarkEnd w:id="1471"/>
      <w:bookmarkEnd w:id="1472"/>
      <w:bookmarkEnd w:id="1473"/>
      <w:bookmarkEnd w:id="1474"/>
      <w:bookmarkEnd w:id="1475"/>
      <w:bookmarkEnd w:id="1476"/>
      <w:bookmarkEnd w:id="1477"/>
      <w:bookmarkEnd w:id="1478"/>
      <w:bookmarkEnd w:id="1479"/>
      <w:bookmarkEnd w:id="1480"/>
      <w:bookmarkEnd w:id="1481"/>
      <w:r>
        <w:rPr>
          <w:rFonts w:ascii="Times New Roman;Times;serif" w:hAnsi="Times New Roman;Times;serif"/>
          <w:b/>
          <w:i w:val="false"/>
          <w:caps w:val="false"/>
          <w:smallCaps w:val="false"/>
          <w:sz w:val="20"/>
        </w:rPr>
        <w:t>21.</w:t>
      </w:r>
      <w:r>
        <w:rPr>
          <w:rFonts w:ascii="Times New Roman;Times;serif" w:hAnsi="Times New Roman;Times;serif"/>
          <w:b/>
          <w:sz w:val="20"/>
        </w:rPr>
        <w:t>Income taxes and deferred taxes</w:t>
      </w:r>
    </w:p>
    <w:p>
      <w:pPr>
        <w:pStyle w:val="TextBody"/>
        <w:bidi w:val="0"/>
        <w:spacing w:before="0" w:after="0"/>
        <w:ind w:left="0" w:right="0" w:hanging="0"/>
        <w:jc w:val="left"/>
        <w:rPr/>
      </w:pPr>
      <w:r>
        <w:rPr/>
        <w:t>​</w:t>
      </w:r>
    </w:p>
    <w:tbl>
      <w:tblPr>
        <w:tblW w:w="7399" w:type="dxa"/>
        <w:jc w:val="left"/>
        <w:tblInd w:w="0" w:type="dxa"/>
        <w:tblLayout w:type="fixed"/>
        <w:tblCellMar>
          <w:top w:w="0" w:type="dxa"/>
          <w:left w:w="0" w:type="dxa"/>
          <w:bottom w:w="0" w:type="dxa"/>
          <w:right w:w="0" w:type="dxa"/>
        </w:tblCellMar>
      </w:tblPr>
      <w:tblGrid>
        <w:gridCol w:w="2596"/>
        <w:gridCol w:w="346"/>
        <w:gridCol w:w="813"/>
        <w:gridCol w:w="519"/>
        <w:gridCol w:w="813"/>
        <w:gridCol w:w="346"/>
        <w:gridCol w:w="698"/>
        <w:gridCol w:w="502"/>
        <w:gridCol w:w="76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648460" cy="175260"/>
                      <wp:effectExtent l="0" t="0" r="0" b="0"/>
                      <wp:wrapNone/>
                      <wp:docPr id="301" name="Frame294"/>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19710" cy="175260"/>
                      <wp:effectExtent l="0" t="0" r="0" b="0"/>
                      <wp:wrapNone/>
                      <wp:docPr id="302" name="Frame2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516255" cy="175260"/>
                      <wp:effectExtent l="0" t="0" r="0" b="0"/>
                      <wp:wrapNone/>
                      <wp:docPr id="303" name="Frame296"/>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29565" cy="175260"/>
                      <wp:effectExtent l="0" t="0" r="0" b="0"/>
                      <wp:wrapNone/>
                      <wp:docPr id="304" name="Frame297"/>
                      <a:graphic xmlns:a="http://schemas.openxmlformats.org/drawingml/2006/main">
                        <a:graphicData uri="http://schemas.microsoft.com/office/word/2010/wordprocessingShape">
                          <wps:wsp>
                            <wps:cNvSpPr txBox="1"/>
                            <wps:spPr>
                              <a:xfrm>
                                <a:off x="0" y="0"/>
                                <a:ext cx="3295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516255" cy="175260"/>
                      <wp:effectExtent l="0" t="0" r="0" b="0"/>
                      <wp:wrapNone/>
                      <wp:docPr id="305" name="Frame298"/>
                      <a:graphic xmlns:a="http://schemas.openxmlformats.org/drawingml/2006/main">
                        <a:graphicData uri="http://schemas.microsoft.com/office/word/2010/wordprocessingShape">
                          <wps:wsp>
                            <wps:cNvSpPr txBox="1"/>
                            <wps:spPr>
                              <a:xfrm>
                                <a:off x="0" y="0"/>
                                <a:ext cx="5162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219710" cy="175260"/>
                      <wp:effectExtent l="0" t="0" r="0" b="0"/>
                      <wp:wrapNone/>
                      <wp:docPr id="306"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43230" cy="175260"/>
                      <wp:effectExtent l="0" t="0" r="0" b="0"/>
                      <wp:wrapNone/>
                      <wp:docPr id="307" name="Frame300"/>
                      <a:graphic xmlns:a="http://schemas.openxmlformats.org/drawingml/2006/main">
                        <a:graphicData uri="http://schemas.microsoft.com/office/word/2010/wordprocessingShape">
                          <wps:wsp>
                            <wps:cNvSpPr txBox="1"/>
                            <wps:spPr>
                              <a:xfrm>
                                <a:off x="0" y="0"/>
                                <a:ext cx="443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318770" cy="175260"/>
                      <wp:effectExtent l="0" t="0" r="0" b="0"/>
                      <wp:wrapNone/>
                      <wp:docPr id="308" name="Frame301"/>
                      <a:graphic xmlns:a="http://schemas.openxmlformats.org/drawingml/2006/main">
                        <a:graphicData uri="http://schemas.microsoft.com/office/word/2010/wordprocessingShape">
                          <wps:wsp>
                            <wps:cNvSpPr txBox="1"/>
                            <wps:spPr>
                              <a:xfrm>
                                <a:off x="0" y="0"/>
                                <a:ext cx="318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86410" cy="175260"/>
                      <wp:effectExtent l="0" t="0" r="0" b="0"/>
                      <wp:wrapNone/>
                      <wp:docPr id="309" name="Frame302"/>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214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left"/>
              <w:rPr/>
            </w:pPr>
            <w:r>
              <w:rPr/>
              <w:t>​</w:t>
            </w:r>
          </w:p>
        </w:tc>
        <w:tc>
          <w:tcPr>
            <w:tcW w:w="1966"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14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  ​ ​ ​</w:t>
            </w:r>
          </w:p>
        </w:tc>
        <w:tc>
          <w:tcPr>
            <w:tcW w:w="196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1"/>
              <w:ind w:left="0" w:right="0" w:hanging="0"/>
              <w:jc w:val="left"/>
              <w:rPr/>
            </w:pPr>
            <w:r>
              <w:rPr/>
              <w:t>  ​ ​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19" w:type="dxa"/>
            <w:tcBorders/>
            <w:vAlign w:val="center"/>
          </w:tcPr>
          <w:p>
            <w:pPr>
              <w:pStyle w:val="TableContents"/>
              <w:bidi w:val="0"/>
              <w:spacing w:before="0" w:after="1"/>
              <w:ind w:left="0" w:right="0" w:hanging="0"/>
              <w:jc w:val="left"/>
              <w:rPr/>
            </w:pPr>
            <w:r>
              <w:rPr/>
              <w:t>  ​ ​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02" w:type="dxa"/>
            <w:tcBorders/>
            <w:vAlign w:val="center"/>
          </w:tcPr>
          <w:p>
            <w:pPr>
              <w:pStyle w:val="TableContents"/>
              <w:bidi w:val="0"/>
              <w:spacing w:before="0" w:after="1"/>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tax expenses</w:t>
            </w:r>
          </w:p>
        </w:tc>
        <w:tc>
          <w:tcPr>
            <w:tcW w:w="346" w:type="dxa"/>
            <w:tcBorders/>
            <w:shd w:fill="CCEEFF" w:val="clear"/>
            <w:vAlign w:val="center"/>
          </w:tcPr>
          <w:p>
            <w:pPr>
              <w:pStyle w:val="TableContents"/>
              <w:bidi w:val="0"/>
              <w:spacing w:before="0" w:after="1"/>
              <w:ind w:left="0" w:right="0" w:hanging="0"/>
              <w:jc w:val="left"/>
              <w:rPr/>
            </w:pPr>
            <w:r>
              <w:rPr/>
              <w:t> </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(476)</w:t>
            </w:r>
          </w:p>
        </w:tc>
        <w:tc>
          <w:tcPr>
            <w:tcW w:w="519" w:type="dxa"/>
            <w:tcBorders/>
            <w:shd w:fill="CCEEFF" w:val="clear"/>
            <w:vAlign w:val="center"/>
          </w:tcPr>
          <w:p>
            <w:pPr>
              <w:pStyle w:val="TableContents"/>
              <w:bidi w:val="0"/>
              <w:spacing w:before="0" w:after="1"/>
              <w:ind w:left="0" w:right="0" w:hanging="0"/>
              <w:jc w:val="left"/>
              <w:rPr/>
            </w:pPr>
            <w:r>
              <w:rPr/>
              <w:t>​</w:t>
            </w:r>
          </w:p>
        </w:tc>
        <w:tc>
          <w:tcPr>
            <w:tcW w:w="81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shd w:fill="CCEEFF" w:val="clear"/>
            <w:vAlign w:val="center"/>
          </w:tcPr>
          <w:p>
            <w:pPr>
              <w:pStyle w:val="TableContents"/>
              <w:bidi w:val="0"/>
              <w:spacing w:before="0" w:after="1"/>
              <w:ind w:left="0" w:right="0" w:hanging="0"/>
              <w:jc w:val="left"/>
              <w:rPr/>
            </w:pPr>
            <w:r>
              <w:rPr/>
              <w:t>​</w:t>
            </w:r>
          </w:p>
        </w:tc>
        <w:tc>
          <w:tcPr>
            <w:tcW w:w="698"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(856)</w:t>
            </w:r>
          </w:p>
        </w:tc>
        <w:tc>
          <w:tcPr>
            <w:tcW w:w="502" w:type="dxa"/>
            <w:tcBorders/>
            <w:shd w:fill="CCEEFF" w:val="clear"/>
            <w:vAlign w:val="center"/>
          </w:tcPr>
          <w:p>
            <w:pPr>
              <w:pStyle w:val="TableContents"/>
              <w:bidi w:val="0"/>
              <w:spacing w:before="0" w:after="1"/>
              <w:ind w:left="0" w:right="0" w:hanging="0"/>
              <w:jc w:val="left"/>
              <w:rPr/>
            </w:pPr>
            <w:r>
              <w:rPr/>
              <w:t> </w:t>
            </w:r>
          </w:p>
        </w:tc>
        <w:tc>
          <w:tcPr>
            <w:tcW w:w="7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tax income/(expense)</w:t>
            </w:r>
          </w:p>
        </w:tc>
        <w:tc>
          <w:tcPr>
            <w:tcW w:w="346" w:type="dxa"/>
            <w:tcBorders/>
            <w:vAlign w:val="center"/>
          </w:tcPr>
          <w:p>
            <w:pPr>
              <w:pStyle w:val="TableContents"/>
              <w:bidi w:val="0"/>
              <w:spacing w:before="0" w:after="1"/>
              <w:ind w:left="0" w:right="0" w:hanging="0"/>
              <w:jc w:val="left"/>
              <w:rPr/>
            </w:pPr>
            <w:r>
              <w:rPr/>
              <w:t> </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519" w:type="dxa"/>
            <w:tcBorders/>
            <w:vAlign w:val="center"/>
          </w:tcPr>
          <w:p>
            <w:pPr>
              <w:pStyle w:val="TableContents"/>
              <w:bidi w:val="0"/>
              <w:spacing w:before="0" w:after="1"/>
              <w:ind w:left="0" w:right="0" w:hanging="0"/>
              <w:jc w:val="left"/>
              <w:rPr/>
            </w:pPr>
            <w:r>
              <w:rPr/>
              <w:t>​</w:t>
            </w:r>
          </w:p>
        </w:tc>
        <w:tc>
          <w:tcPr>
            <w:tcW w:w="81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1"/>
              <w:ind w:left="0" w:right="0" w:hanging="0"/>
              <w:jc w:val="left"/>
              <w:rPr/>
            </w:pPr>
            <w:r>
              <w:rPr/>
              <w:t>​</w:t>
            </w:r>
          </w:p>
        </w:tc>
        <w:tc>
          <w:tcPr>
            <w:tcW w:w="698"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502" w:type="dxa"/>
            <w:tcBorders/>
            <w:vAlign w:val="center"/>
          </w:tcPr>
          <w:p>
            <w:pPr>
              <w:pStyle w:val="TableContents"/>
              <w:bidi w:val="0"/>
              <w:spacing w:before="0" w:after="1"/>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Income Tax Expense</w:t>
            </w:r>
          </w:p>
        </w:tc>
        <w:tc>
          <w:tcPr>
            <w:tcW w:w="346" w:type="dxa"/>
            <w:tcBorders/>
            <w:shd w:fill="CCEEFF" w:val="clear"/>
            <w:vAlign w:val="center"/>
          </w:tcPr>
          <w:p>
            <w:pPr>
              <w:pStyle w:val="TableContents"/>
              <w:bidi w:val="0"/>
              <w:spacing w:before="0" w:after="1"/>
              <w:ind w:left="0" w:right="0" w:hanging="0"/>
              <w:jc w:val="left"/>
              <w:rPr/>
            </w:pPr>
            <w:r>
              <w:rPr/>
              <w:t> </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(477)</w:t>
            </w:r>
          </w:p>
        </w:tc>
        <w:tc>
          <w:tcPr>
            <w:tcW w:w="519" w:type="dxa"/>
            <w:tcBorders/>
            <w:shd w:fill="CCEEFF" w:val="clear"/>
            <w:vAlign w:val="center"/>
          </w:tcPr>
          <w:p>
            <w:pPr>
              <w:pStyle w:val="TableContents"/>
              <w:bidi w:val="0"/>
              <w:spacing w:before="0" w:after="1"/>
              <w:ind w:left="0" w:right="0" w:hanging="0"/>
              <w:jc w:val="left"/>
              <w:rPr/>
            </w:pPr>
            <w:r>
              <w:rPr/>
              <w:t>​</w:t>
            </w:r>
          </w:p>
        </w:tc>
        <w:tc>
          <w:tcPr>
            <w:tcW w:w="81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(278)</w:t>
            </w:r>
          </w:p>
        </w:tc>
        <w:tc>
          <w:tcPr>
            <w:tcW w:w="346" w:type="dxa"/>
            <w:tcBorders/>
            <w:shd w:fill="CCEEFF" w:val="clear"/>
            <w:vAlign w:val="center"/>
          </w:tcPr>
          <w:p>
            <w:pPr>
              <w:pStyle w:val="TableContents"/>
              <w:bidi w:val="0"/>
              <w:spacing w:before="0" w:after="1"/>
              <w:ind w:left="0" w:right="0" w:hanging="0"/>
              <w:jc w:val="left"/>
              <w:rPr/>
            </w:pPr>
            <w:r>
              <w:rPr/>
              <w:t>​</w:t>
            </w:r>
          </w:p>
        </w:tc>
        <w:tc>
          <w:tcPr>
            <w:tcW w:w="698"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(868)</w:t>
            </w:r>
          </w:p>
        </w:tc>
        <w:tc>
          <w:tcPr>
            <w:tcW w:w="502" w:type="dxa"/>
            <w:tcBorders/>
            <w:shd w:fill="CCEEFF" w:val="clear"/>
            <w:vAlign w:val="center"/>
          </w:tcPr>
          <w:p>
            <w:pPr>
              <w:pStyle w:val="TableContents"/>
              <w:bidi w:val="0"/>
              <w:spacing w:before="0" w:after="1"/>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(404)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the current tax expense mainly relates to (i) an increase of income tax payable by certain of the Company’s subsidiaries for an amount of</w:t>
      </w:r>
      <w:r>
        <w:rPr>
          <w:rFonts w:ascii="Times New Roman;Times;serif" w:hAnsi="Times New Roman;Times;serif"/>
          <w:sz w:val="20"/>
          <w:shd w:fill="FFFFFF" w:val="clear"/>
        </w:rPr>
        <w:t xml:space="preserve"> €0.6 million (2025: €286,000), and (ii) an additional accrual of the liability for uncertain tax positions for an amount of €254,000 (2025: €121,000).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shd w:fill="FFFFFF" w:val="clear"/>
        </w:rPr>
        <w:t>The uncertain tax position was recorded following certain public rulings and guidance issued by tax authorities in one of the jurisdictions that the Company operates in. The current tax liability of €4.0 million mainly relates to a liability for uncertain tax positions for an amount of €3.7 million</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b/>
          <w:sz w:val="20"/>
        </w:rPr>
      </w:pPr>
      <w:bookmarkStart w:id="1482" w:name="Tc_1xikxeyq70W81heA2BVnGQ_9_0"/>
      <w:bookmarkStart w:id="1483" w:name="Tc_REyy1kRd6kmqpZdIigxPhw_8_0"/>
      <w:bookmarkStart w:id="1484" w:name="Tc_tUhDFlXGEEGp8fXuL3tpxA_7_0"/>
      <w:bookmarkStart w:id="1485" w:name="Tc_fTY6VwOaRUuH1wdXD8_gkg_6_0"/>
      <w:bookmarkStart w:id="1486" w:name="Tc_LVnTx8jdRE2lw6Uq8g2NKA_5_0"/>
      <w:bookmarkStart w:id="1487" w:name="Tc_d8-dntc2A0Go8BmXvfdksQ_4_0"/>
      <w:bookmarkStart w:id="1488" w:name="Tc_KL3cqDQ14EaJpJhu8rKIxg_3_4"/>
      <w:bookmarkStart w:id="1489" w:name="Tc_pwa4VYqDp0mV6xRRajdfSA_3_2"/>
      <w:bookmarkStart w:id="1490" w:name="Tc_3_YcaioFRkCPyCWIAJFRXQ_3_0"/>
      <w:bookmarkStart w:id="1491" w:name="Tc_8mfRdCak5UyMJz5dOHpuiw_2_4"/>
      <w:bookmarkStart w:id="1492" w:name="Tc_XQ97AAo03EuKoUCWLI5agw_2_2"/>
      <w:bookmarkStart w:id="1493" w:name="Tc_o--_DEtpa0ugGYSkAOGilQ_1_2"/>
      <w:bookmarkStart w:id="1494" w:name="a22Otherliabilities_484595"/>
      <w:bookmarkStart w:id="1495" w:name="a20Otherpayables_489305"/>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r>
        <w:rPr>
          <w:rFonts w:ascii="Times New Roman;Times;serif" w:hAnsi="Times New Roman;Times;serif"/>
          <w:b/>
          <w:i w:val="false"/>
          <w:caps w:val="false"/>
          <w:smallCaps w:val="false"/>
          <w:sz w:val="20"/>
        </w:rPr>
        <w:t>22.</w:t>
      </w:r>
      <w:r>
        <w:rPr>
          <w:rFonts w:ascii="Times New Roman;Times;serif" w:hAnsi="Times New Roman;Times;serif"/>
          <w:b/>
          <w:sz w:val="20"/>
        </w:rPr>
        <w:t>Other liabilities</w:t>
      </w:r>
    </w:p>
    <w:p>
      <w:pPr>
        <w:pStyle w:val="TextBody"/>
        <w:bidi w:val="0"/>
        <w:spacing w:before="0" w:after="0"/>
        <w:ind w:left="0" w:right="0" w:hanging="0"/>
        <w:jc w:val="left"/>
        <w:rPr/>
      </w:pPr>
      <w:r>
        <w:rPr/>
        <w:t>​</w:t>
      </w:r>
    </w:p>
    <w:tbl>
      <w:tblPr>
        <w:tblW w:w="4565" w:type="dxa"/>
        <w:jc w:val="left"/>
        <w:tblInd w:w="0" w:type="dxa"/>
        <w:tblLayout w:type="fixed"/>
        <w:tblCellMar>
          <w:top w:w="0" w:type="dxa"/>
          <w:left w:w="0" w:type="dxa"/>
          <w:bottom w:w="0" w:type="dxa"/>
          <w:right w:w="0" w:type="dxa"/>
        </w:tblCellMar>
      </w:tblPr>
      <w:tblGrid>
        <w:gridCol w:w="1921"/>
        <w:gridCol w:w="346"/>
        <w:gridCol w:w="766"/>
        <w:gridCol w:w="346"/>
        <w:gridCol w:w="1186"/>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1219835" cy="175260"/>
                      <wp:effectExtent l="0" t="0" r="0" b="0"/>
                      <wp:wrapNone/>
                      <wp:docPr id="310" name="Frame303"/>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86410" cy="175260"/>
                      <wp:effectExtent l="0" t="0" r="0" b="0"/>
                      <wp:wrapNone/>
                      <wp:docPr id="312" name="Frame305"/>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753110" cy="175260"/>
                      <wp:effectExtent l="0" t="0" r="0" b="0"/>
                      <wp:wrapNone/>
                      <wp:docPr id="314" name="Frame30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192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Holiday pay accrual</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496</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Salary</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2,860</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3,840</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565</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VAT Payable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w:t>
            </w:r>
          </w:p>
        </w:tc>
      </w:tr>
      <w:tr>
        <w:trPr/>
        <w:tc>
          <w:tcPr>
            <w:tcW w:w="19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1,712</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1,509</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liabilities</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5,922</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6,629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decrease by €707,000 in other liabilities as at June 30, 2026, compared to December 31, 2025, is mainly due to a decrease by €1.0 million in payroll related liabilities. The decrease is partly offset by an increase of €0.6 million in accrued expenses and €203,000 in other.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at June 30, 2026, Other mainly consists of an outstanding liability related to the continued development of the Company’s strategic R&amp;D project.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496" w:name="Tc_NKTJ04Xhs0mRw3CEjq4_dw_4_4"/>
      <w:bookmarkStart w:id="1497" w:name="Tc_LKA5eN-0cEmqGhNjmZLqlA_4_2"/>
      <w:bookmarkStart w:id="1498" w:name="Tc_mPpER_kPokW0wYTfx8KUAg_4_0"/>
      <w:bookmarkStart w:id="1499" w:name="Tc_LS9h4SfOM0ynADkvAM7u1w_3_2"/>
      <w:bookmarkStart w:id="1500" w:name="Tc_HYI5XVelNE2rtFjSVynpnA_3_0"/>
      <w:bookmarkStart w:id="1501" w:name="Tc_yYrsNpkM_EmRIuZU_PmZWg_2_2"/>
      <w:bookmarkStart w:id="1502" w:name="Tc_NkcMxtWBYECXIeL8thSSWw_2_0"/>
      <w:bookmarkStart w:id="1503" w:name="Tc_O963APMkgk6a_5yktANNMA_1_4"/>
      <w:bookmarkStart w:id="1504" w:name="Tc_Ra_DtNhpukyogJqS0UvYPw_1_2"/>
      <w:bookmarkStart w:id="1505" w:name="Tc_QgYkLhGfp0uvbUZQ37J1dA_1_0"/>
      <w:bookmarkStart w:id="1506" w:name="_d16bbd3c_186d_40be_b7a6_8d070bacf009"/>
      <w:bookmarkStart w:id="1507" w:name="Tc_DmVthw5utkG5cJyFwCQ_-g_4_0"/>
      <w:bookmarkStart w:id="1508" w:name="Tc_uJodLIzic0iekpw5kzSr4A_3_0"/>
      <w:bookmarkStart w:id="1509" w:name="Tc_NkOJxF0Xh0C7S9VvbMN6Mg_2_0"/>
      <w:bookmarkStart w:id="1510" w:name="Tc_jgd4jCokK0qIDL4i47f6kg_1_4"/>
      <w:bookmarkStart w:id="1511" w:name="Tc_QIttQ9UEp0yruU3lrvqeKw_1_2"/>
      <w:bookmarkStart w:id="1512" w:name="Tc_CAn9k-XPtkGStms_dIMcnA_1_0"/>
      <w:bookmarkStart w:id="1513" w:name="_0bc1eb99_de30_4a61_bb81_2e3e39ea5e58"/>
      <w:bookmarkStart w:id="1514" w:name="Tc_BKikM1p9iUSl0q_Hukpz5g_4_0"/>
      <w:bookmarkStart w:id="1515" w:name="Tc_KNWnwrfozUiIh0v85XYTUg_3_0"/>
      <w:bookmarkStart w:id="1516" w:name="Tc_16AELTmhTU-BRkFiYH-u7g_2_8"/>
      <w:bookmarkStart w:id="1517" w:name="Tc_hlZ8Q54Z-Ee7MoIvpdD2aQ_2_6"/>
      <w:bookmarkStart w:id="1518" w:name="Tc_2E3jtKm1PkiCcx9Qj37o8g_2_4"/>
      <w:bookmarkStart w:id="1519" w:name="Tc_qApBKRo5p0eQVRcdLYuAvQ_2_2"/>
      <w:bookmarkStart w:id="1520" w:name="Tc_nFmq8cP1M0qhxJJ5VWgO-Q_2_0"/>
      <w:bookmarkStart w:id="1521" w:name="Tc_qgjtTJmpQUeAnK-PhcV0qA_1_2"/>
      <w:bookmarkStart w:id="1522" w:name="Tc_8dGfTBlu4ki5aA-yAO5qQQ_5_2"/>
      <w:bookmarkStart w:id="1523" w:name="Tc_MKxA0VvV-k-b-8XEgVzB5g_5_0"/>
      <w:bookmarkStart w:id="1524" w:name="Tc__TAgdnlY6EWbax73gjkAWA_4_2"/>
      <w:bookmarkStart w:id="1525" w:name="Tc_T0WbB1DLVkeQtaqir-FUtA_4_0"/>
      <w:bookmarkStart w:id="1526" w:name="Tc_mbi6cEqGVkCv81oicWaUJg_3_4"/>
      <w:bookmarkStart w:id="1527" w:name="Tc_B2XVhYUxtEeu3IwV9Os3zA_3_2"/>
      <w:bookmarkStart w:id="1528" w:name="Tc_g5pTz8Kq2UOI1MX-h4lW7g_3_0"/>
      <w:bookmarkStart w:id="1529" w:name="Tc_oRaAgaPatU-RqSF0ELhShw_2_4"/>
      <w:bookmarkStart w:id="1530" w:name="Tc_7LP1Ghm4wkWCU2gXkZPdJw_2_2"/>
      <w:bookmarkStart w:id="1531" w:name="Tc_Vt_FCOPqgEWdA3clR6o6nA_1_2"/>
      <w:bookmarkStart w:id="1532" w:name="a23Foreigncurrencyswapsandforwards_19180"/>
      <w:bookmarkStart w:id="1533" w:name="a21Derivatives_116720"/>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bookmarkEnd w:id="1526"/>
      <w:bookmarkEnd w:id="1527"/>
      <w:bookmarkEnd w:id="1528"/>
      <w:bookmarkEnd w:id="1529"/>
      <w:bookmarkEnd w:id="1530"/>
      <w:bookmarkEnd w:id="1531"/>
      <w:bookmarkEnd w:id="1532"/>
      <w:bookmarkEnd w:id="1533"/>
      <w:r>
        <w:rPr>
          <w:rFonts w:ascii="Times New Roman;Times;serif" w:hAnsi="Times New Roman;Times;serif"/>
          <w:b/>
          <w:i w:val="false"/>
          <w:caps w:val="false"/>
          <w:smallCaps w:val="false"/>
          <w:sz w:val="20"/>
        </w:rPr>
        <w:t>23.</w:t>
      </w:r>
      <w:r>
        <w:rPr>
          <w:rFonts w:ascii="Times New Roman;Times;serif" w:hAnsi="Times New Roman;Times;serif"/>
          <w:b/>
          <w:sz w:val="20"/>
        </w:rPr>
        <w:t>Foreign currency swaps and forwards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exposed to currency risk primarily due to the expected future USD, AUD and NIS expenses that will be incurred as part of the ongoing and planned marketing, clinical trials and other related expenses. A financial risk management policy has been approved to i) generate yields on liquidity and ii) reduce the exposure to currency fluctuations with a timeline up to 24 months and by means of foreign currency swaps and forwards. There have not been any transfers of level 3 categories during the year.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has entered into several foreign currency forwards for which the notional amounts are detailed in the table below:</w:t>
      </w:r>
    </w:p>
    <w:p>
      <w:pPr>
        <w:pStyle w:val="TextBody"/>
        <w:bidi w:val="0"/>
        <w:spacing w:before="0" w:after="0"/>
        <w:ind w:left="0" w:right="0" w:hanging="0"/>
        <w:jc w:val="left"/>
        <w:rPr/>
      </w:pPr>
      <w:r>
        <w:rPr/>
        <w:t>​</w:t>
      </w:r>
    </w:p>
    <w:tbl>
      <w:tblPr>
        <w:tblW w:w="6605" w:type="dxa"/>
        <w:jc w:val="left"/>
        <w:tblInd w:w="0" w:type="dxa"/>
        <w:tblLayout w:type="fixed"/>
        <w:tblCellMar>
          <w:top w:w="0" w:type="dxa"/>
          <w:left w:w="0" w:type="dxa"/>
          <w:bottom w:w="0" w:type="dxa"/>
          <w:right w:w="0" w:type="dxa"/>
        </w:tblCellMar>
      </w:tblPr>
      <w:tblGrid>
        <w:gridCol w:w="3961"/>
        <w:gridCol w:w="346"/>
        <w:gridCol w:w="766"/>
        <w:gridCol w:w="346"/>
        <w:gridCol w:w="1186"/>
      </w:tblGrid>
      <w:tr>
        <w:trPr/>
        <w:tc>
          <w:tcPr>
            <w:tcW w:w="3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515235" cy="175260"/>
                      <wp:effectExtent l="0" t="0" r="0" b="0"/>
                      <wp:wrapNone/>
                      <wp:docPr id="315" name="Frame308"/>
                      <a:graphic xmlns:a="http://schemas.openxmlformats.org/drawingml/2006/main">
                        <a:graphicData uri="http://schemas.microsoft.com/office/word/2010/wordprocessingShape">
                          <wps:wsp>
                            <wps:cNvSpPr txBox="1"/>
                            <wps:spPr>
                              <a:xfrm>
                                <a:off x="0" y="0"/>
                                <a:ext cx="2515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486410" cy="175260"/>
                      <wp:effectExtent l="0" t="0" r="0" b="0"/>
                      <wp:wrapNone/>
                      <wp:docPr id="317" name="Frame31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219710" cy="175260"/>
                      <wp:effectExtent l="0" t="0" r="0" b="0"/>
                      <wp:wrapNone/>
                      <wp:docPr id="318"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753110" cy="175260"/>
                      <wp:effectExtent l="0" t="0" r="0" b="0"/>
                      <wp:wrapNone/>
                      <wp:docPr id="319" name="Frame31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6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9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w:t>
            </w:r>
          </w:p>
        </w:tc>
      </w:tr>
      <w:tr>
        <w:trPr/>
        <w:tc>
          <w:tcPr>
            <w:tcW w:w="396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96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forwards EUR - USD (in EUR)</w:t>
            </w:r>
          </w:p>
        </w:tc>
        <w:tc>
          <w:tcPr>
            <w:tcW w:w="34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2,000</w:t>
            </w:r>
          </w:p>
        </w:tc>
      </w:tr>
      <w:tr>
        <w:trPr/>
        <w:tc>
          <w:tcPr>
            <w:tcW w:w="396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forwards EUR - USD (in USD)</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2,355</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table shows the carrying amount of derivative financial instruments measured at fair value in the statement of the financial position including their levels in the fair value hierarchy:</w:t>
      </w:r>
    </w:p>
    <w:p>
      <w:pPr>
        <w:pStyle w:val="TextBody"/>
        <w:bidi w:val="0"/>
        <w:spacing w:before="0" w:after="0"/>
        <w:ind w:left="0" w:right="0" w:hanging="0"/>
        <w:jc w:val="left"/>
        <w:rPr/>
      </w:pPr>
      <w:r>
        <w:rPr/>
        <w:t>​</w:t>
      </w:r>
    </w:p>
    <w:tbl>
      <w:tblPr>
        <w:tblW w:w="6144" w:type="dxa"/>
        <w:jc w:val="left"/>
        <w:tblInd w:w="0" w:type="dxa"/>
        <w:tblLayout w:type="fixed"/>
        <w:tblCellMar>
          <w:top w:w="0" w:type="dxa"/>
          <w:left w:w="0" w:type="dxa"/>
          <w:bottom w:w="0" w:type="dxa"/>
          <w:right w:w="0" w:type="dxa"/>
        </w:tblCellMar>
      </w:tblPr>
      <w:tblGrid>
        <w:gridCol w:w="2236"/>
        <w:gridCol w:w="346"/>
        <w:gridCol w:w="601"/>
        <w:gridCol w:w="346"/>
        <w:gridCol w:w="661"/>
        <w:gridCol w:w="346"/>
        <w:gridCol w:w="721"/>
        <w:gridCol w:w="346"/>
        <w:gridCol w:w="541"/>
      </w:tblGrid>
      <w:tr>
        <w:trPr/>
        <w:tc>
          <w:tcPr>
            <w:tcW w:w="22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1419860" cy="175260"/>
                      <wp:effectExtent l="0" t="0" r="0" b="0"/>
                      <wp:wrapNone/>
                      <wp:docPr id="320" name="Frame313"/>
                      <a:graphic xmlns:a="http://schemas.openxmlformats.org/drawingml/2006/main">
                        <a:graphicData uri="http://schemas.microsoft.com/office/word/2010/wordprocessingShape">
                          <wps:wsp>
                            <wps:cNvSpPr txBox="1"/>
                            <wps:spPr>
                              <a:xfrm>
                                <a:off x="0" y="0"/>
                                <a:ext cx="1419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219710" cy="175260"/>
                      <wp:effectExtent l="0" t="0" r="0" b="0"/>
                      <wp:wrapNone/>
                      <wp:docPr id="321"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381635" cy="175260"/>
                      <wp:effectExtent l="0" t="0" r="0" b="0"/>
                      <wp:wrapNone/>
                      <wp:docPr id="322" name="Frame31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19710" cy="175260"/>
                      <wp:effectExtent l="0" t="0" r="0" b="0"/>
                      <wp:wrapNone/>
                      <wp:docPr id="323"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419735" cy="175260"/>
                      <wp:effectExtent l="0" t="0" r="0" b="0"/>
                      <wp:wrapNone/>
                      <wp:docPr id="324" name="Frame317"/>
                      <a:graphic xmlns:a="http://schemas.openxmlformats.org/drawingml/2006/main">
                        <a:graphicData uri="http://schemas.microsoft.com/office/word/2010/wordprocessingShape">
                          <wps:wsp>
                            <wps:cNvSpPr txBox="1"/>
                            <wps:spPr>
                              <a:xfrm>
                                <a:off x="0" y="0"/>
                                <a:ext cx="4197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457835" cy="175260"/>
                      <wp:effectExtent l="0" t="0" r="0" b="0"/>
                      <wp:wrapNone/>
                      <wp:docPr id="326" name="Frame319"/>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19710" cy="175260"/>
                      <wp:effectExtent l="0" t="0" r="0" b="0"/>
                      <wp:wrapNone/>
                      <wp:docPr id="327"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43535" cy="175260"/>
                      <wp:effectExtent l="0" t="0" r="0" b="0"/>
                      <wp:wrapNone/>
                      <wp:docPr id="328" name="Frame32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562"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at June 30, 2026</w:t>
            </w:r>
          </w:p>
        </w:tc>
      </w:tr>
      <w:tr>
        <w:trPr/>
        <w:tc>
          <w:tcPr>
            <w:tcW w:w="223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I</w:t>
            </w:r>
          </w:p>
        </w:tc>
        <w:tc>
          <w:tcPr>
            <w:tcW w:w="346" w:type="dxa"/>
            <w:tcBorders/>
            <w:vAlign w:val="center"/>
          </w:tcPr>
          <w:p>
            <w:pPr>
              <w:pStyle w:val="TableContents"/>
              <w:bidi w:val="0"/>
              <w:spacing w:before="0" w:after="0"/>
              <w:ind w:left="0" w:right="0" w:hanging="0"/>
              <w:jc w:val="left"/>
              <w:rPr/>
            </w:pPr>
            <w:r>
              <w:rPr/>
              <w:t>  ​ ​ ​</w:t>
            </w:r>
          </w:p>
        </w:tc>
        <w:tc>
          <w:tcPr>
            <w:tcW w:w="6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II</w:t>
            </w:r>
          </w:p>
        </w:tc>
        <w:tc>
          <w:tcPr>
            <w:tcW w:w="346" w:type="dxa"/>
            <w:tcBorders/>
            <w:vAlign w:val="center"/>
          </w:tcPr>
          <w:p>
            <w:pPr>
              <w:pStyle w:val="TableContents"/>
              <w:bidi w:val="0"/>
              <w:spacing w:before="0" w:after="0"/>
              <w:ind w:left="0" w:right="0" w:hanging="0"/>
              <w:jc w:val="left"/>
              <w:rPr/>
            </w:pPr>
            <w:r>
              <w:rPr/>
              <w:t>  ​ ​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Level III</w:t>
            </w:r>
          </w:p>
        </w:tc>
        <w:tc>
          <w:tcPr>
            <w:tcW w:w="346" w:type="dxa"/>
            <w:tcBorders/>
            <w:vAlign w:val="center"/>
          </w:tcPr>
          <w:p>
            <w:pPr>
              <w:pStyle w:val="TableContents"/>
              <w:bidi w:val="0"/>
              <w:spacing w:before="0" w:after="0"/>
              <w:ind w:left="0" w:right="0" w:hanging="0"/>
              <w:jc w:val="left"/>
              <w:rPr/>
            </w:pPr>
            <w:r>
              <w:rPr/>
              <w:t>  ​ ​ ​</w:t>
            </w:r>
          </w:p>
        </w:tc>
        <w:tc>
          <w:tcPr>
            <w:tcW w:w="5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36"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Financial assets</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pPr>
            <w:r>
              <w:rPr/>
              <w:t>  ​</w:t>
            </w:r>
          </w:p>
        </w:tc>
      </w:tr>
      <w:tr>
        <w:trPr/>
        <w:tc>
          <w:tcPr>
            <w:tcW w:w="22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forwards</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66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541" w:type="dxa"/>
            <w:tcBorders/>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is determined by the financial institution and is based on foreign currency swaps and forwards rates and the maturity of the instrument. All foreign currency swaps are classified as current as their maturity date is within the next twelve months.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 in the balance of the financial assets is detailed as follows:</w:t>
      </w:r>
    </w:p>
    <w:tbl>
      <w:tblPr>
        <w:tblW w:w="4160" w:type="dxa"/>
        <w:jc w:val="left"/>
        <w:tblInd w:w="0" w:type="dxa"/>
        <w:tblLayout w:type="fixed"/>
        <w:tblCellMar>
          <w:top w:w="0" w:type="dxa"/>
          <w:left w:w="0" w:type="dxa"/>
          <w:bottom w:w="0" w:type="dxa"/>
          <w:right w:w="0" w:type="dxa"/>
        </w:tblCellMar>
      </w:tblPr>
      <w:tblGrid>
        <w:gridCol w:w="2476"/>
        <w:gridCol w:w="346"/>
        <w:gridCol w:w="466"/>
        <w:gridCol w:w="346"/>
        <w:gridCol w:w="52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572260" cy="175260"/>
                      <wp:effectExtent l="0" t="0" r="0" b="0"/>
                      <wp:wrapNone/>
                      <wp:docPr id="329" name="Frame322"/>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19710" cy="175260"/>
                      <wp:effectExtent l="0" t="0" r="0" b="0"/>
                      <wp:wrapNone/>
                      <wp:docPr id="330" name="Frame3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95910" cy="175260"/>
                      <wp:effectExtent l="0" t="0" r="0" b="0"/>
                      <wp:wrapNone/>
                      <wp:docPr id="331" name="Frame324"/>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19710" cy="175260"/>
                      <wp:effectExtent l="0" t="0" r="0" b="0"/>
                      <wp:wrapNone/>
                      <wp:docPr id="332" name="Frame3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334010" cy="175260"/>
                      <wp:effectExtent l="0" t="0" r="0" b="0"/>
                      <wp:wrapNone/>
                      <wp:docPr id="333" name="Frame326"/>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Opening value at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2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adjustments</w:t>
            </w:r>
          </w:p>
        </w:tc>
        <w:tc>
          <w:tcPr>
            <w:tcW w:w="34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w:t>
            </w:r>
          </w:p>
        </w:tc>
      </w:tr>
      <w:tr>
        <w:trPr/>
        <w:tc>
          <w:tcPr>
            <w:tcW w:w="2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Closing value at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493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change in the balance of the financial liabilities is detailed as follows:</w:t>
      </w:r>
    </w:p>
    <w:tbl>
      <w:tblPr>
        <w:tblW w:w="4220" w:type="dxa"/>
        <w:jc w:val="left"/>
        <w:tblInd w:w="0" w:type="dxa"/>
        <w:tblLayout w:type="fixed"/>
        <w:tblCellMar>
          <w:top w:w="0" w:type="dxa"/>
          <w:left w:w="0" w:type="dxa"/>
          <w:bottom w:w="0" w:type="dxa"/>
          <w:right w:w="0" w:type="dxa"/>
        </w:tblCellMar>
      </w:tblPr>
      <w:tblGrid>
        <w:gridCol w:w="2476"/>
        <w:gridCol w:w="346"/>
        <w:gridCol w:w="466"/>
        <w:gridCol w:w="346"/>
        <w:gridCol w:w="586"/>
      </w:tblGrid>
      <w:tr>
        <w:trPr/>
        <w:tc>
          <w:tcPr>
            <w:tcW w:w="2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572260" cy="175260"/>
                      <wp:effectExtent l="0" t="0" r="0" b="0"/>
                      <wp:wrapNone/>
                      <wp:docPr id="334" name="Frame327"/>
                      <a:graphic xmlns:a="http://schemas.openxmlformats.org/drawingml/2006/main">
                        <a:graphicData uri="http://schemas.microsoft.com/office/word/2010/wordprocessingShape">
                          <wps:wsp>
                            <wps:cNvSpPr txBox="1"/>
                            <wps:spPr>
                              <a:xfrm>
                                <a:off x="0" y="0"/>
                                <a:ext cx="157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19710" cy="175260"/>
                      <wp:effectExtent l="0" t="0" r="0" b="0"/>
                      <wp:wrapNone/>
                      <wp:docPr id="335" name="Frame3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95910" cy="175260"/>
                      <wp:effectExtent l="0" t="0" r="0" b="0"/>
                      <wp:wrapNone/>
                      <wp:docPr id="336" name="Frame329"/>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19710" cy="175260"/>
                      <wp:effectExtent l="0" t="0" r="0" b="0"/>
                      <wp:wrapNone/>
                      <wp:docPr id="337" name="Frame3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372110" cy="175260"/>
                      <wp:effectExtent l="0" t="0" r="0" b="0"/>
                      <wp:wrapNone/>
                      <wp:docPr id="338" name="Frame331"/>
                      <a:graphic xmlns:a="http://schemas.openxmlformats.org/drawingml/2006/main">
                        <a:graphicData uri="http://schemas.microsoft.com/office/word/2010/wordprocessingShape">
                          <wps:wsp>
                            <wps:cNvSpPr txBox="1"/>
                            <wps:spPr>
                              <a:xfrm>
                                <a:off x="0" y="0"/>
                                <a:ext cx="372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7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  ​ ​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Opening value at January 1</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353</w:t>
            </w:r>
          </w:p>
        </w:tc>
      </w:tr>
      <w:tr>
        <w:trPr/>
        <w:tc>
          <w:tcPr>
            <w:tcW w:w="24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Settled contracts</w:t>
            </w:r>
          </w:p>
        </w:tc>
        <w:tc>
          <w:tcPr>
            <w:tcW w:w="346" w:type="dxa"/>
            <w:tcBorders/>
            <w:vAlign w:val="center"/>
          </w:tcPr>
          <w:p>
            <w:pPr>
              <w:pStyle w:val="TableContents"/>
              <w:bidi w:val="0"/>
              <w:spacing w:before="0" w:after="0"/>
              <w:ind w:left="0" w:right="0" w:hanging="0"/>
              <w:jc w:val="left"/>
              <w:rPr/>
            </w:pPr>
            <w:r>
              <w:rPr/>
              <w:t>​</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5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r>
      <w:tr>
        <w:trPr/>
        <w:tc>
          <w:tcPr>
            <w:tcW w:w="24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Closing value at June 30</w:t>
            </w:r>
          </w:p>
        </w:tc>
        <w:tc>
          <w:tcPr>
            <w:tcW w:w="346" w:type="dxa"/>
            <w:tcBorders/>
            <w:shd w:fill="CCEEFF" w:val="clear"/>
            <w:vAlign w:val="center"/>
          </w:tcPr>
          <w:p>
            <w:pPr>
              <w:pStyle w:val="TableContents"/>
              <w:bidi w:val="0"/>
              <w:spacing w:before="0" w:after="0"/>
              <w:ind w:left="0" w:right="0" w:hanging="0"/>
              <w:jc w:val="left"/>
              <w:rPr/>
            </w:pPr>
            <w:r>
              <w:rPr/>
              <w:t> </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534" w:name="a22Resultsofoperation_631021"/>
      <w:bookmarkEnd w:id="1534"/>
      <w:r>
        <w:rPr>
          <w:rFonts w:ascii="Times New Roman;Times;serif" w:hAnsi="Times New Roman;Times;serif"/>
          <w:b/>
          <w:i w:val="false"/>
          <w:caps w:val="false"/>
          <w:smallCaps w:val="false"/>
          <w:sz w:val="20"/>
        </w:rPr>
        <w:t>24.</w:t>
      </w:r>
      <w:r>
        <w:rPr>
          <w:rFonts w:ascii="Times New Roman;Times;serif" w:hAnsi="Times New Roman;Times;serif"/>
          <w:b/>
          <w:sz w:val="20"/>
        </w:rPr>
        <w:t>Results of operation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 and cost of goods sold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the six months ended June 30, 2026, the Company generated revenue for the amount of €14.0 million (2025: €2.4 million). In the three months ended June 30, 2026, the Company generated revenue for the amount of €7.7 million (2025: €1.3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contract liability included in the consolidated balance sheet is related to revenue attributed to the additional replenishment of disposable patches which is recognized when control of the patches is transferred to the customer or patient quarterly following the patient implants and the revenue attributed to the future deliveries of the patient-related components in the United States. The current contract liability amounts to €1.0 million (2025: €0.9 million) while the non-current contract liability amounts to €0.7 million (2025: €0.7 million). The revenue recognized in the six months ended June 30, 2026 that was included in the contract liability balance at the beginning of the period amounts to €324,000 (2025: €165,000).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535" w:name="Tc_KZT36Q00pEyqgxyUhFpq_A_7_0"/>
      <w:bookmarkStart w:id="1536" w:name="Tc_vnx9Z4HqTU66-njY1lDSZA_6_0"/>
      <w:bookmarkStart w:id="1537" w:name="Tc_fDk-0wVwfEOXsYcVPilZrw_5_0"/>
      <w:bookmarkStart w:id="1538" w:name="Tc_iGPm2ziRwk6jW-Z54nLfwQ_4_0"/>
      <w:bookmarkStart w:id="1539" w:name="Tc_prxlKiTiPkauaD8eOqrGgQ_3_6"/>
      <w:bookmarkStart w:id="1540" w:name="Tc_tjqfmSBeD0iZxT9_01MLEg_3_4"/>
      <w:bookmarkStart w:id="1541" w:name="Tc_V7HypvVN4Uy_lZ5bQ2bCoA_3_2"/>
      <w:bookmarkStart w:id="1542" w:name="Tc_2ThcVh4yp0eQLHk20KWJng_3_0"/>
      <w:bookmarkStart w:id="1543" w:name="Tc_Q5B9Fv_NEk6XltsWe_qheA_2_6"/>
      <w:bookmarkStart w:id="1544" w:name="Tc_WypevxR_Y0C_EoDWQT-WeQ_1_6"/>
      <w:bookmarkStart w:id="1545" w:name="Tc_6-ZrIuJ0ZUCoQQmxM9Bhcw_7_0"/>
      <w:bookmarkStart w:id="1546" w:name="Tc_yThMTf4I2EaROLndUjiHeg_6_0"/>
      <w:bookmarkStart w:id="1547" w:name="Tc_9clerS69pUaDZgo4EYCqXQ_5_0"/>
      <w:bookmarkStart w:id="1548" w:name="Tc_I6ANl4_DekemSre2pn7ccg_4_0"/>
      <w:bookmarkStart w:id="1549" w:name="Tc_Lai3A9BLDk-yBZOACpcIBg_3_6"/>
      <w:bookmarkStart w:id="1550" w:name="Tc_YH24eapkZUe68O-wRwH1pw_3_4"/>
      <w:bookmarkStart w:id="1551" w:name="Tc_UaWjYYTgpE2xGWKlil5ngg_3_2"/>
      <w:bookmarkStart w:id="1552" w:name="Tc_no-SBb_deUSSWteLe6AOMg_3_0"/>
      <w:bookmarkStart w:id="1553" w:name="Tc_XQ10XcCsWkaviSSOTWwyeg_2_6"/>
      <w:bookmarkStart w:id="1554" w:name="Tc_Su_Iqc-THEqg7Ge6ZM-x0g_1_6"/>
      <w:bookmarkStart w:id="1555" w:name="Tc_488iiuki0UykFmwjeJ5Orw_6_0"/>
      <w:bookmarkStart w:id="1556" w:name="Tc_XKi6wGt9NkC04SxdHUKvMA_5_0"/>
      <w:bookmarkStart w:id="1557" w:name="Tc_wjhdBSc8Y0SSfNvWfpwrUQ_4_0"/>
      <w:bookmarkStart w:id="1558" w:name="Tc_LAxY5lapCka_BmlSAoU4Ng_3_8"/>
      <w:bookmarkStart w:id="1559" w:name="Tc_dgQ9e5YbFk2p_nwjFF8OEw_3_6"/>
      <w:bookmarkStart w:id="1560" w:name="Tc_VJj06Xy0PkSPjY4A3pWSjA_3_4"/>
      <w:bookmarkStart w:id="1561" w:name="Tc_dxb3cgmXVkimppWCBhdEqg_3_2"/>
      <w:bookmarkStart w:id="1562" w:name="Tc_m3hVmptLwkGlRvgY7L2ceQ_3_0"/>
      <w:bookmarkStart w:id="1563" w:name="Tc_43v4uxD0sUO7j33qK726Rg_2_6"/>
      <w:bookmarkStart w:id="1564" w:name="Tc_cuV1QdaAQkGlXjL6xL36tQ_2_2"/>
      <w:bookmarkStart w:id="1565" w:name="Tc_1oEYNuZAvUSXpFI0rzHIEg_1_6"/>
      <w:bookmarkStart w:id="1566" w:name="Tc_gUsOtrOjz0-BXRIgilErMg_1_2"/>
      <w:bookmarkStart w:id="1567" w:name="_acfa2a6a_bf48_4790_9d1f_a9a387ba5867"/>
      <w:bookmarkStart w:id="1568" w:name="Tc_GGsacfkK-Eaq8s_UCyzUkg_12_0"/>
      <w:bookmarkStart w:id="1569" w:name="Tc_CvKuNoPHeUOtyfO5jQV3gA_11_8"/>
      <w:bookmarkStart w:id="1570" w:name="Tc_oRq_Gr0KnkKdR4zinMiuOQ_11_4"/>
      <w:bookmarkStart w:id="1571" w:name="Tc_1rke5yyQ5UWWDxJ0bjtw_Q_11_0"/>
      <w:bookmarkStart w:id="1572" w:name="Tc_s7igeXrSA0SftTt8gg6rBA_10_8"/>
      <w:bookmarkStart w:id="1573" w:name="Tc_oSw56YR_ek2EqOSzh684vg_10_4"/>
      <w:bookmarkStart w:id="1574" w:name="Tc_F6cQYyKjD0WHP8oR2ink5A_10_0"/>
      <w:bookmarkStart w:id="1575" w:name="Tc_F6n55NOgX0CTMw8CnSenUw_9_0"/>
      <w:bookmarkStart w:id="1576" w:name="Tc_uRJzEva5WEK5M1ouRjE7Zw_8_8"/>
      <w:bookmarkStart w:id="1577" w:name="Tc_jJ4hOL9CtECBADIP0ycEwA_8_4"/>
      <w:bookmarkStart w:id="1578" w:name="Tc_nP8zX-LnIEutiXxd6BRqFg_8_2"/>
      <w:bookmarkStart w:id="1579" w:name="Tc_vSnlTzZ8JkCmhc8w5eVbng_8_0"/>
      <w:bookmarkStart w:id="1580" w:name="Tc_OIqJ4vBtyEWN2pwRJ9V45A_7_8"/>
      <w:bookmarkStart w:id="1581" w:name="Tc_lsjUWUWUvkOodjPablkjWQ_7_4"/>
      <w:bookmarkStart w:id="1582" w:name="Tc_qPkSdhz35kySyDmLeVYmog_7_0"/>
      <w:bookmarkStart w:id="1583" w:name="Tc_2SSZtWiA30mZvuC4SJjEMQ_6_8"/>
      <w:bookmarkStart w:id="1584" w:name="Tc_p7Xl8sIvn0Go8oL5_6V8hw_6_4"/>
      <w:bookmarkStart w:id="1585" w:name="Tc_6PgcJ0KnKE-FN_QEO2Qniw_6_0"/>
      <w:bookmarkStart w:id="1586" w:name="Tc_BnWCGuTYgkqiQFEuZ826-g_5_4"/>
      <w:bookmarkStart w:id="1587" w:name="Tc_t9onjkds_Eat_QAgb9L8Xg_5_0"/>
      <w:bookmarkStart w:id="1588" w:name="Tc_BFqGJ-_vl0GQdHNIERX5aA_4_0"/>
      <w:bookmarkStart w:id="1589" w:name="Tc_yAy8NfcxikuJRRQ4S8aGtA_3_8"/>
      <w:bookmarkStart w:id="1590" w:name="Tc_Tz8wj6SjIUO-HBR8Zhmd0w_3_4"/>
      <w:bookmarkStart w:id="1591" w:name="Tc_Lw-FZEPtEkmQe-Jo-WNlog_3_0"/>
      <w:bookmarkStart w:id="1592" w:name="Tc_N7cw_muciEqxe7nPhlkZ7A_2_8"/>
      <w:bookmarkStart w:id="1593" w:name="Tc_vLpIQLQukUGtgzTF0irGlQ_2_6"/>
      <w:bookmarkStart w:id="1594" w:name="Tc_WAw9TIfxnkeAfUaAgUvhNA_2_4"/>
      <w:bookmarkStart w:id="1595" w:name="Tc_RJjiH97CkkSMLjvMFchLPw_2_2"/>
      <w:bookmarkStart w:id="1596" w:name="Tc_-M4_m0bWYEmHfzOA5rQHfQ_2_0"/>
      <w:bookmarkStart w:id="1597" w:name="Tc_bzMi3jCf5UC-HGBVMdx0eA_1_6"/>
      <w:bookmarkStart w:id="1598" w:name="Tc_0nbmaogtYkuk5SaPB1ZMLQ_1_2"/>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bookmarkEnd w:id="1583"/>
      <w:bookmarkEnd w:id="1584"/>
      <w:bookmarkEnd w:id="1585"/>
      <w:bookmarkEnd w:id="1586"/>
      <w:bookmarkEnd w:id="1587"/>
      <w:bookmarkEnd w:id="1588"/>
      <w:bookmarkEnd w:id="1589"/>
      <w:bookmarkEnd w:id="1590"/>
      <w:bookmarkEnd w:id="1591"/>
      <w:bookmarkEnd w:id="1592"/>
      <w:bookmarkEnd w:id="1593"/>
      <w:bookmarkEnd w:id="1594"/>
      <w:bookmarkEnd w:id="1595"/>
      <w:bookmarkEnd w:id="1596"/>
      <w:bookmarkEnd w:id="1597"/>
      <w:bookmarkEnd w:id="1598"/>
      <w:r>
        <w:rPr>
          <w:rFonts w:ascii="Times New Roman;Times;serif" w:hAnsi="Times New Roman;Times;serif"/>
          <w:sz w:val="20"/>
        </w:rPr>
        <w:t>The sales based on country of customer for the three months ended and six months ended June 30, 2026 and 2025:</w:t>
      </w:r>
    </w:p>
    <w:p>
      <w:pPr>
        <w:pStyle w:val="TextBody"/>
        <w:bidi w:val="0"/>
        <w:spacing w:before="0" w:after="0"/>
        <w:ind w:left="0" w:right="0" w:hanging="0"/>
        <w:jc w:val="left"/>
        <w:rPr/>
      </w:pPr>
      <w:r>
        <w:rPr/>
        <w:t>​</w:t>
      </w:r>
    </w:p>
    <w:tbl>
      <w:tblPr>
        <w:tblW w:w="7550" w:type="dxa"/>
        <w:jc w:val="left"/>
        <w:tblInd w:w="0" w:type="dxa"/>
        <w:tblLayout w:type="fixed"/>
        <w:tblCellMar>
          <w:top w:w="0" w:type="dxa"/>
          <w:left w:w="0" w:type="dxa"/>
          <w:bottom w:w="0" w:type="dxa"/>
          <w:right w:w="0" w:type="dxa"/>
        </w:tblCellMar>
      </w:tblPr>
      <w:tblGrid>
        <w:gridCol w:w="1561"/>
        <w:gridCol w:w="346"/>
        <w:gridCol w:w="1042"/>
        <w:gridCol w:w="631"/>
        <w:gridCol w:w="1043"/>
        <w:gridCol w:w="346"/>
        <w:gridCol w:w="1027"/>
        <w:gridCol w:w="525"/>
        <w:gridCol w:w="1029"/>
      </w:tblGrid>
      <w:tr>
        <w:trPr/>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991235" cy="175260"/>
                      <wp:effectExtent l="0" t="0" r="0" b="0"/>
                      <wp:wrapNone/>
                      <wp:docPr id="339" name="Frame332"/>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19710" cy="175260"/>
                      <wp:effectExtent l="0" t="0" r="0" b="0"/>
                      <wp:wrapNone/>
                      <wp:docPr id="340"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61670" cy="175260"/>
                      <wp:effectExtent l="0" t="0" r="0" b="0"/>
                      <wp:wrapNone/>
                      <wp:docPr id="341" name="Frame334"/>
                      <a:graphic xmlns:a="http://schemas.openxmlformats.org/drawingml/2006/main">
                        <a:graphicData uri="http://schemas.microsoft.com/office/word/2010/wordprocessingShape">
                          <wps:wsp>
                            <wps:cNvSpPr txBox="1"/>
                            <wps:spPr>
                              <a:xfrm>
                                <a:off x="0" y="0"/>
                                <a:ext cx="6616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400685" cy="175260"/>
                      <wp:effectExtent l="0" t="0" r="0" b="0"/>
                      <wp:wrapNone/>
                      <wp:docPr id="342" name="Frame335"/>
                      <a:graphic xmlns:a="http://schemas.openxmlformats.org/drawingml/2006/main">
                        <a:graphicData uri="http://schemas.microsoft.com/office/word/2010/wordprocessingShape">
                          <wps:wsp>
                            <wps:cNvSpPr txBox="1"/>
                            <wps:spPr>
                              <a:xfrm>
                                <a:off x="0" y="0"/>
                                <a:ext cx="400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62305" cy="175260"/>
                      <wp:effectExtent l="0" t="0" r="0" b="0"/>
                      <wp:wrapNone/>
                      <wp:docPr id="343" name="Frame336"/>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19710" cy="175260"/>
                      <wp:effectExtent l="0" t="0" r="0" b="0"/>
                      <wp:wrapNone/>
                      <wp:docPr id="344" name="Frame3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52145" cy="175260"/>
                      <wp:effectExtent l="0" t="0" r="0" b="0"/>
                      <wp:wrapNone/>
                      <wp:docPr id="345" name="Frame338"/>
                      <a:graphic xmlns:a="http://schemas.openxmlformats.org/drawingml/2006/main">
                        <a:graphicData uri="http://schemas.microsoft.com/office/word/2010/wordprocessingShape">
                          <wps:wsp>
                            <wps:cNvSpPr txBox="1"/>
                            <wps:spPr>
                              <a:xfrm>
                                <a:off x="0" y="0"/>
                                <a:ext cx="6521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333375" cy="175260"/>
                      <wp:effectExtent l="0" t="0" r="0" b="0"/>
                      <wp:wrapNone/>
                      <wp:docPr id="346" name="Frame339"/>
                      <a:graphic xmlns:a="http://schemas.openxmlformats.org/drawingml/2006/main">
                        <a:graphicData uri="http://schemas.microsoft.com/office/word/2010/wordprocessingShape">
                          <wps:wsp>
                            <wps:cNvSpPr txBox="1"/>
                            <wps:spPr>
                              <a:xfrm>
                                <a:off x="0" y="0"/>
                                <a:ext cx="3333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53415" cy="175260"/>
                      <wp:effectExtent l="0" t="0" r="0" b="0"/>
                      <wp:wrapNone/>
                      <wp:docPr id="347" name="Frame340"/>
                      <a:graphic xmlns:a="http://schemas.openxmlformats.org/drawingml/2006/main">
                        <a:graphicData uri="http://schemas.microsoft.com/office/word/2010/wordprocessingShape">
                          <wps:wsp>
                            <wps:cNvSpPr txBox="1"/>
                            <wps:spPr>
                              <a:xfrm>
                                <a:off x="0" y="0"/>
                                <a:ext cx="6534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716"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 June 30</w:t>
            </w:r>
          </w:p>
        </w:tc>
        <w:tc>
          <w:tcPr>
            <w:tcW w:w="346" w:type="dxa"/>
            <w:tcBorders/>
            <w:vAlign w:val="center"/>
          </w:tcPr>
          <w:p>
            <w:pPr>
              <w:pStyle w:val="TableContents"/>
              <w:bidi w:val="0"/>
              <w:spacing w:before="0" w:after="1"/>
              <w:ind w:left="0" w:right="0" w:hanging="0"/>
              <w:jc w:val="center"/>
              <w:rPr/>
            </w:pPr>
            <w:r>
              <w:rPr/>
              <w:t>​</w:t>
            </w:r>
          </w:p>
        </w:tc>
        <w:tc>
          <w:tcPr>
            <w:tcW w:w="258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June 30</w:t>
            </w:r>
          </w:p>
        </w:tc>
      </w:tr>
      <w:tr>
        <w:trPr/>
        <w:tc>
          <w:tcPr>
            <w:tcW w:w="156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1"/>
              <w:ind w:left="0" w:right="0" w:hanging="0"/>
              <w:jc w:val="center"/>
              <w:rPr/>
            </w:pPr>
            <w:r>
              <w:rPr/>
              <w:t>  ​ ​ ​</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31" w:type="dxa"/>
            <w:tcBorders/>
            <w:vAlign w:val="center"/>
          </w:tcPr>
          <w:p>
            <w:pPr>
              <w:pStyle w:val="TableContents"/>
              <w:bidi w:val="0"/>
              <w:spacing w:before="0" w:after="1"/>
              <w:ind w:left="0" w:right="0" w:hanging="0"/>
              <w:jc w:val="center"/>
              <w:rPr/>
            </w:pPr>
            <w:r>
              <w:rPr/>
              <w:t>  ​ ​ ​</w:t>
            </w:r>
          </w:p>
        </w:tc>
        <w:tc>
          <w:tcPr>
            <w:tcW w:w="104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25" w:type="dxa"/>
            <w:tcBorders/>
            <w:vAlign w:val="center"/>
          </w:tcPr>
          <w:p>
            <w:pPr>
              <w:pStyle w:val="TableContents"/>
              <w:bidi w:val="0"/>
              <w:spacing w:before="0" w:after="1"/>
              <w:ind w:left="0" w:right="0" w:hanging="0"/>
              <w:jc w:val="center"/>
              <w:rPr/>
            </w:pPr>
            <w:r>
              <w:rPr/>
              <w:t>  ​ ​ ​</w:t>
            </w:r>
          </w:p>
        </w:tc>
        <w:tc>
          <w:tcPr>
            <w:tcW w:w="102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5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US</w:t>
            </w:r>
          </w:p>
        </w:tc>
        <w:tc>
          <w:tcPr>
            <w:tcW w:w="346"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5,197</w:t>
            </w:r>
          </w:p>
        </w:tc>
        <w:tc>
          <w:tcPr>
            <w:tcW w:w="631" w:type="dxa"/>
            <w:tcBorders/>
            <w:shd w:fill="CCEEFF" w:val="clear"/>
            <w:vAlign w:val="center"/>
          </w:tcPr>
          <w:p>
            <w:pPr>
              <w:pStyle w:val="TableContents"/>
              <w:bidi w:val="0"/>
              <w:spacing w:before="0" w:after="1"/>
              <w:ind w:left="0" w:right="0" w:hanging="0"/>
              <w:jc w:val="left"/>
              <w:rPr/>
            </w:pPr>
            <w:r>
              <w:rPr/>
              <w:t> </w:t>
            </w:r>
          </w:p>
        </w:tc>
        <w:tc>
          <w:tcPr>
            <w:tcW w:w="10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9,451</w:t>
            </w:r>
          </w:p>
        </w:tc>
        <w:tc>
          <w:tcPr>
            <w:tcW w:w="525" w:type="dxa"/>
            <w:tcBorders/>
            <w:shd w:fill="CCEEFF" w:val="clear"/>
            <w:vAlign w:val="center"/>
          </w:tcPr>
          <w:p>
            <w:pPr>
              <w:pStyle w:val="TableContents"/>
              <w:bidi w:val="0"/>
              <w:spacing w:before="0" w:after="1"/>
              <w:ind w:left="0" w:right="0" w:hanging="0"/>
              <w:jc w:val="left"/>
              <w:rPr/>
            </w:pPr>
            <w:r>
              <w:rPr/>
              <w:t> </w:t>
            </w:r>
          </w:p>
        </w:tc>
        <w:tc>
          <w:tcPr>
            <w:tcW w:w="1029"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Germany</w:t>
            </w:r>
          </w:p>
        </w:tc>
        <w:tc>
          <w:tcPr>
            <w:tcW w:w="346" w:type="dxa"/>
            <w:tcBorders/>
            <w:vAlign w:val="center"/>
          </w:tcPr>
          <w:p>
            <w:pPr>
              <w:pStyle w:val="TableContents"/>
              <w:bidi w:val="0"/>
              <w:spacing w:before="0" w:after="1"/>
              <w:ind w:left="0" w:right="0" w:hanging="0"/>
              <w:jc w:val="left"/>
              <w:rPr/>
            </w:pPr>
            <w:r>
              <w:rPr/>
              <w:t> </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1,391</w:t>
            </w:r>
          </w:p>
        </w:tc>
        <w:tc>
          <w:tcPr>
            <w:tcW w:w="631" w:type="dxa"/>
            <w:tcBorders/>
            <w:vAlign w:val="center"/>
          </w:tcPr>
          <w:p>
            <w:pPr>
              <w:pStyle w:val="TableContents"/>
              <w:bidi w:val="0"/>
              <w:spacing w:before="0" w:after="1"/>
              <w:ind w:left="0" w:right="0" w:hanging="0"/>
              <w:jc w:val="left"/>
              <w:rPr/>
            </w:pPr>
            <w:r>
              <w:rPr/>
              <w:t> </w:t>
            </w:r>
          </w:p>
        </w:tc>
        <w:tc>
          <w:tcPr>
            <w:tcW w:w="104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1,175</w:t>
            </w:r>
          </w:p>
        </w:tc>
        <w:tc>
          <w:tcPr>
            <w:tcW w:w="346" w:type="dxa"/>
            <w:tcBorders/>
            <w:vAlign w:val="center"/>
          </w:tcPr>
          <w:p>
            <w:pPr>
              <w:pStyle w:val="TableContents"/>
              <w:bidi w:val="0"/>
              <w:spacing w:before="0" w:after="1"/>
              <w:ind w:left="0" w:right="0" w:hanging="0"/>
              <w:jc w:val="left"/>
              <w:rPr/>
            </w:pPr>
            <w:r>
              <w:rPr/>
              <w:t> </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2,615</w:t>
            </w:r>
          </w:p>
        </w:tc>
        <w:tc>
          <w:tcPr>
            <w:tcW w:w="525" w:type="dxa"/>
            <w:tcBorders/>
            <w:vAlign w:val="center"/>
          </w:tcPr>
          <w:p>
            <w:pPr>
              <w:pStyle w:val="TableContents"/>
              <w:bidi w:val="0"/>
              <w:spacing w:before="0" w:after="1"/>
              <w:ind w:left="0" w:right="0" w:hanging="0"/>
              <w:jc w:val="left"/>
              <w:rPr/>
            </w:pPr>
            <w:r>
              <w:rPr/>
              <w:t> </w:t>
            </w:r>
          </w:p>
        </w:tc>
        <w:tc>
          <w:tcPr>
            <w:tcW w:w="102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2,104</w:t>
            </w:r>
          </w:p>
        </w:tc>
      </w:tr>
      <w:tr>
        <w:trPr/>
        <w:tc>
          <w:tcPr>
            <w:tcW w:w="15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UAE</w:t>
            </w:r>
          </w:p>
        </w:tc>
        <w:tc>
          <w:tcPr>
            <w:tcW w:w="346"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w:t>
            </w:r>
          </w:p>
        </w:tc>
        <w:tc>
          <w:tcPr>
            <w:tcW w:w="631" w:type="dxa"/>
            <w:tcBorders/>
            <w:shd w:fill="CCEEFF" w:val="clear"/>
            <w:vAlign w:val="center"/>
          </w:tcPr>
          <w:p>
            <w:pPr>
              <w:pStyle w:val="TableContents"/>
              <w:bidi w:val="0"/>
              <w:spacing w:before="0" w:after="1"/>
              <w:ind w:left="0" w:right="0" w:hanging="0"/>
              <w:jc w:val="left"/>
              <w:rPr/>
            </w:pPr>
            <w:r>
              <w:rPr/>
              <w:t> </w:t>
            </w:r>
          </w:p>
        </w:tc>
        <w:tc>
          <w:tcPr>
            <w:tcW w:w="10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814</w:t>
            </w:r>
          </w:p>
        </w:tc>
        <w:tc>
          <w:tcPr>
            <w:tcW w:w="525" w:type="dxa"/>
            <w:tcBorders/>
            <w:shd w:fill="CCEEFF" w:val="clear"/>
            <w:vAlign w:val="center"/>
          </w:tcPr>
          <w:p>
            <w:pPr>
              <w:pStyle w:val="TableContents"/>
              <w:bidi w:val="0"/>
              <w:spacing w:before="0" w:after="1"/>
              <w:ind w:left="0" w:right="0" w:hanging="0"/>
              <w:jc w:val="left"/>
              <w:rPr/>
            </w:pPr>
            <w:r>
              <w:rPr/>
              <w:t> </w:t>
            </w:r>
          </w:p>
        </w:tc>
        <w:tc>
          <w:tcPr>
            <w:tcW w:w="10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15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England</w:t>
            </w:r>
          </w:p>
        </w:tc>
        <w:tc>
          <w:tcPr>
            <w:tcW w:w="346" w:type="dxa"/>
            <w:tcBorders/>
            <w:vAlign w:val="center"/>
          </w:tcPr>
          <w:p>
            <w:pPr>
              <w:pStyle w:val="TableContents"/>
              <w:bidi w:val="0"/>
              <w:spacing w:before="0" w:after="1"/>
              <w:ind w:left="0" w:right="0" w:hanging="0"/>
              <w:jc w:val="left"/>
              <w:rPr/>
            </w:pPr>
            <w:r>
              <w:rPr/>
              <w:t> </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w:t>
            </w:r>
          </w:p>
        </w:tc>
        <w:tc>
          <w:tcPr>
            <w:tcW w:w="631" w:type="dxa"/>
            <w:tcBorders/>
            <w:vAlign w:val="center"/>
          </w:tcPr>
          <w:p>
            <w:pPr>
              <w:pStyle w:val="TableContents"/>
              <w:bidi w:val="0"/>
              <w:spacing w:before="0" w:after="1"/>
              <w:ind w:left="0" w:right="0" w:hanging="0"/>
              <w:jc w:val="left"/>
              <w:rPr/>
            </w:pPr>
            <w:r>
              <w:rPr/>
              <w:t> </w:t>
            </w:r>
          </w:p>
        </w:tc>
        <w:tc>
          <w:tcPr>
            <w:tcW w:w="10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658</w:t>
            </w:r>
          </w:p>
        </w:tc>
        <w:tc>
          <w:tcPr>
            <w:tcW w:w="525" w:type="dxa"/>
            <w:tcBorders/>
            <w:vAlign w:val="center"/>
          </w:tcPr>
          <w:p>
            <w:pPr>
              <w:pStyle w:val="TableContents"/>
              <w:bidi w:val="0"/>
              <w:spacing w:before="0" w:after="1"/>
              <w:ind w:left="0" w:right="0" w:hanging="0"/>
              <w:jc w:val="left"/>
              <w:rPr/>
            </w:pPr>
            <w:r>
              <w:rPr/>
              <w:t> </w:t>
            </w:r>
          </w:p>
        </w:tc>
        <w:tc>
          <w:tcPr>
            <w:tcW w:w="1029" w:type="dxa"/>
            <w:tcBorders/>
            <w:vAlign w:val="center"/>
          </w:tcPr>
          <w:p>
            <w:pPr>
              <w:pStyle w:val="TableContents"/>
              <w:bidi w:val="0"/>
              <w:spacing w:before="0" w:after="1"/>
              <w:ind w:left="0" w:right="0" w:hanging="0"/>
              <w:jc w:val="right"/>
              <w:rPr/>
            </w:pPr>
            <w:r>
              <w:rPr/>
              <w:t>—</w:t>
            </w:r>
          </w:p>
        </w:tc>
      </w:tr>
      <w:tr>
        <w:trPr/>
        <w:tc>
          <w:tcPr>
            <w:tcW w:w="15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Switzerland</w:t>
            </w:r>
          </w:p>
        </w:tc>
        <w:tc>
          <w:tcPr>
            <w:tcW w:w="346"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c>
          <w:tcPr>
            <w:tcW w:w="631" w:type="dxa"/>
            <w:tcBorders/>
            <w:shd w:fill="CCEEFF" w:val="clear"/>
            <w:vAlign w:val="center"/>
          </w:tcPr>
          <w:p>
            <w:pPr>
              <w:pStyle w:val="TableContents"/>
              <w:bidi w:val="0"/>
              <w:spacing w:before="0" w:after="1"/>
              <w:ind w:left="0" w:right="0" w:hanging="0"/>
              <w:jc w:val="left"/>
              <w:rPr/>
            </w:pPr>
            <w:r>
              <w:rPr/>
              <w:t> </w:t>
            </w:r>
          </w:p>
        </w:tc>
        <w:tc>
          <w:tcPr>
            <w:tcW w:w="1043"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357</w:t>
            </w:r>
          </w:p>
        </w:tc>
        <w:tc>
          <w:tcPr>
            <w:tcW w:w="525" w:type="dxa"/>
            <w:tcBorders/>
            <w:shd w:fill="CCEEFF" w:val="clear"/>
            <w:vAlign w:val="center"/>
          </w:tcPr>
          <w:p>
            <w:pPr>
              <w:pStyle w:val="TableContents"/>
              <w:bidi w:val="0"/>
              <w:spacing w:before="0" w:after="1"/>
              <w:ind w:left="0" w:right="0" w:hanging="0"/>
              <w:jc w:val="left"/>
              <w:rPr/>
            </w:pPr>
            <w:r>
              <w:rPr/>
              <w:t> </w:t>
            </w:r>
          </w:p>
        </w:tc>
        <w:tc>
          <w:tcPr>
            <w:tcW w:w="1029" w:type="dxa"/>
            <w:tcBorders/>
            <w:shd w:fill="CCEEFF" w:val="cle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Netherlands</w:t>
            </w:r>
          </w:p>
        </w:tc>
        <w:tc>
          <w:tcPr>
            <w:tcW w:w="346" w:type="dxa"/>
            <w:tcBorders/>
            <w:vAlign w:val="center"/>
          </w:tcPr>
          <w:p>
            <w:pPr>
              <w:pStyle w:val="TableContents"/>
              <w:bidi w:val="0"/>
              <w:spacing w:before="0" w:after="1"/>
              <w:ind w:left="0" w:right="0" w:hanging="0"/>
              <w:jc w:val="left"/>
              <w:rPr/>
            </w:pPr>
            <w:r>
              <w:rPr/>
              <w:t> </w:t>
            </w:r>
          </w:p>
        </w:tc>
        <w:tc>
          <w:tcPr>
            <w:tcW w:w="1042" w:type="dxa"/>
            <w:tcBorders/>
            <w:vAlign w:val="center"/>
          </w:tcPr>
          <w:p>
            <w:pPr>
              <w:pStyle w:val="TableContents"/>
              <w:bidi w:val="0"/>
              <w:spacing w:before="0" w:after="1"/>
              <w:ind w:left="0" w:right="0" w:hanging="0"/>
              <w:jc w:val="right"/>
              <w:rPr/>
            </w:pPr>
            <w:r>
              <w:rPr/>
              <w:t>—</w:t>
            </w:r>
          </w:p>
        </w:tc>
        <w:tc>
          <w:tcPr>
            <w:tcW w:w="631" w:type="dxa"/>
            <w:tcBorders/>
            <w:vAlign w:val="center"/>
          </w:tcPr>
          <w:p>
            <w:pPr>
              <w:pStyle w:val="TableContents"/>
              <w:bidi w:val="0"/>
              <w:spacing w:before="0" w:after="1"/>
              <w:ind w:left="0" w:right="0" w:hanging="0"/>
              <w:jc w:val="left"/>
              <w:rPr/>
            </w:pPr>
            <w:r>
              <w:rPr/>
              <w:t> </w:t>
            </w:r>
          </w:p>
        </w:tc>
        <w:tc>
          <w:tcPr>
            <w:tcW w:w="10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525" w:type="dxa"/>
            <w:tcBorders/>
            <w:vAlign w:val="center"/>
          </w:tcPr>
          <w:p>
            <w:pPr>
              <w:pStyle w:val="TableContents"/>
              <w:bidi w:val="0"/>
              <w:spacing w:before="0" w:after="1"/>
              <w:ind w:left="0" w:right="0" w:hanging="0"/>
              <w:jc w:val="left"/>
              <w:rPr/>
            </w:pPr>
            <w:r>
              <w:rPr/>
              <w:t> </w:t>
            </w:r>
          </w:p>
        </w:tc>
        <w:tc>
          <w:tcPr>
            <w:tcW w:w="1029" w:type="dxa"/>
            <w:tcBorders/>
            <w:vAlign w:val="center"/>
          </w:tcPr>
          <w:p>
            <w:pPr>
              <w:pStyle w:val="TableContents"/>
              <w:bidi w:val="0"/>
              <w:spacing w:before="0" w:after="1"/>
              <w:ind w:left="0" w:right="0" w:hanging="0"/>
              <w:jc w:val="right"/>
              <w:rPr/>
            </w:pPr>
            <w:r>
              <w:rPr/>
              <w:t>—</w:t>
            </w:r>
          </w:p>
        </w:tc>
      </w:tr>
      <w:tr>
        <w:trPr/>
        <w:tc>
          <w:tcPr>
            <w:tcW w:w="15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Austria</w:t>
            </w:r>
          </w:p>
        </w:tc>
        <w:tc>
          <w:tcPr>
            <w:tcW w:w="346" w:type="dxa"/>
            <w:tcBorders/>
            <w:shd w:fill="CCEEFF" w:val="clear"/>
            <w:vAlign w:val="center"/>
          </w:tcPr>
          <w:p>
            <w:pPr>
              <w:pStyle w:val="TableContents"/>
              <w:bidi w:val="0"/>
              <w:spacing w:before="0" w:after="1"/>
              <w:ind w:left="0" w:right="0" w:hanging="0"/>
              <w:jc w:val="left"/>
              <w:rPr/>
            </w:pPr>
            <w:r>
              <w:rPr/>
              <w:t> </w:t>
            </w:r>
          </w:p>
        </w:tc>
        <w:tc>
          <w:tcPr>
            <w:tcW w:w="10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631" w:type="dxa"/>
            <w:tcBorders/>
            <w:shd w:fill="CCEEFF" w:val="clear"/>
            <w:vAlign w:val="center"/>
          </w:tcPr>
          <w:p>
            <w:pPr>
              <w:pStyle w:val="TableContents"/>
              <w:bidi w:val="0"/>
              <w:spacing w:before="0" w:after="1"/>
              <w:ind w:left="0" w:right="0" w:hanging="0"/>
              <w:jc w:val="left"/>
              <w:rPr/>
            </w:pPr>
            <w:r>
              <w:rPr/>
              <w:t> </w:t>
            </w:r>
          </w:p>
        </w:tc>
        <w:tc>
          <w:tcPr>
            <w:tcW w:w="104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165</w:t>
            </w:r>
          </w:p>
        </w:tc>
        <w:tc>
          <w:tcPr>
            <w:tcW w:w="346" w:type="dxa"/>
            <w:tcBorders/>
            <w:shd w:fill="CCEEFF" w:val="clear"/>
            <w:vAlign w:val="center"/>
          </w:tcPr>
          <w:p>
            <w:pPr>
              <w:pStyle w:val="TableContents"/>
              <w:bidi w:val="0"/>
              <w:spacing w:before="0" w:after="1"/>
              <w:ind w:left="0" w:right="0" w:hanging="0"/>
              <w:jc w:val="left"/>
              <w:rPr/>
            </w:pPr>
            <w:r>
              <w:rPr/>
              <w:t> </w:t>
            </w:r>
          </w:p>
        </w:tc>
        <w:tc>
          <w:tcPr>
            <w:tcW w:w="10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525" w:type="dxa"/>
            <w:tcBorders/>
            <w:shd w:fill="CCEEFF" w:val="clear"/>
            <w:vAlign w:val="center"/>
          </w:tcPr>
          <w:p>
            <w:pPr>
              <w:pStyle w:val="TableContents"/>
              <w:bidi w:val="0"/>
              <w:spacing w:before="0" w:after="1"/>
              <w:ind w:left="0" w:right="0" w:hanging="0"/>
              <w:jc w:val="left"/>
              <w:rPr/>
            </w:pPr>
            <w:r>
              <w:rPr/>
              <w:t> </w:t>
            </w:r>
          </w:p>
        </w:tc>
        <w:tc>
          <w:tcPr>
            <w:tcW w:w="102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w:t>
            </w:r>
          </w:p>
        </w:tc>
      </w:tr>
      <w:tr>
        <w:trPr/>
        <w:tc>
          <w:tcPr>
            <w:tcW w:w="156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Spain</w:t>
            </w:r>
          </w:p>
        </w:tc>
        <w:tc>
          <w:tcPr>
            <w:tcW w:w="346" w:type="dxa"/>
            <w:tcBorders/>
            <w:vAlign w:val="center"/>
          </w:tcPr>
          <w:p>
            <w:pPr>
              <w:pStyle w:val="TableContents"/>
              <w:bidi w:val="0"/>
              <w:spacing w:before="0" w:after="1"/>
              <w:ind w:left="0" w:right="0" w:hanging="0"/>
              <w:jc w:val="left"/>
              <w:rPr/>
            </w:pPr>
            <w:r>
              <w:rPr/>
              <w:t> </w:t>
            </w:r>
          </w:p>
        </w:tc>
        <w:tc>
          <w:tcPr>
            <w:tcW w:w="10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631" w:type="dxa"/>
            <w:tcBorders/>
            <w:vAlign w:val="center"/>
          </w:tcPr>
          <w:p>
            <w:pPr>
              <w:pStyle w:val="TableContents"/>
              <w:bidi w:val="0"/>
              <w:spacing w:before="0" w:after="1"/>
              <w:ind w:left="0" w:right="0" w:hanging="0"/>
              <w:jc w:val="left"/>
              <w:rPr/>
            </w:pPr>
            <w:r>
              <w:rPr/>
              <w:t> </w:t>
            </w:r>
          </w:p>
        </w:tc>
        <w:tc>
          <w:tcPr>
            <w:tcW w:w="1043"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0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525" w:type="dxa"/>
            <w:tcBorders/>
            <w:vAlign w:val="center"/>
          </w:tcPr>
          <w:p>
            <w:pPr>
              <w:pStyle w:val="TableContents"/>
              <w:bidi w:val="0"/>
              <w:spacing w:before="0" w:after="1"/>
              <w:ind w:left="0" w:right="0" w:hanging="0"/>
              <w:jc w:val="left"/>
              <w:rPr/>
            </w:pPr>
            <w:r>
              <w:rPr/>
              <w:t> </w:t>
            </w:r>
          </w:p>
        </w:tc>
        <w:tc>
          <w:tcPr>
            <w:tcW w:w="1029" w:type="dxa"/>
            <w:tcBorders/>
            <w:vAlign w:val="center"/>
          </w:tcPr>
          <w:p>
            <w:pPr>
              <w:pStyle w:val="TableContents"/>
              <w:bidi w:val="0"/>
              <w:spacing w:before="0" w:after="1"/>
              <w:ind w:left="0" w:right="0" w:hanging="0"/>
              <w:jc w:val="right"/>
              <w:rPr/>
            </w:pPr>
            <w:r>
              <w:rPr/>
              <w:t>—</w:t>
            </w:r>
          </w:p>
        </w:tc>
      </w:tr>
      <w:tr>
        <w:trPr/>
        <w:tc>
          <w:tcPr>
            <w:tcW w:w="156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Italy</w:t>
            </w:r>
          </w:p>
        </w:tc>
        <w:tc>
          <w:tcPr>
            <w:tcW w:w="346" w:type="dxa"/>
            <w:tcBorders/>
            <w:shd w:fill="CCEEFF" w:val="clear"/>
            <w:vAlign w:val="center"/>
          </w:tcPr>
          <w:p>
            <w:pPr>
              <w:pStyle w:val="TableContents"/>
              <w:bidi w:val="0"/>
              <w:spacing w:before="0" w:after="1"/>
              <w:ind w:left="0" w:right="0" w:hanging="0"/>
              <w:jc w:val="left"/>
              <w:rPr/>
            </w:pPr>
            <w:r>
              <w:rPr/>
              <w:t> </w:t>
            </w:r>
          </w:p>
        </w:tc>
        <w:tc>
          <w:tcPr>
            <w:tcW w:w="104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631" w:type="dxa"/>
            <w:tcBorders/>
            <w:shd w:fill="CCEEFF" w:val="clear"/>
            <w:vAlign w:val="center"/>
          </w:tcPr>
          <w:p>
            <w:pPr>
              <w:pStyle w:val="TableContents"/>
              <w:bidi w:val="0"/>
              <w:spacing w:before="0" w:after="1"/>
              <w:ind w:left="0" w:right="0" w:hanging="0"/>
              <w:jc w:val="left"/>
              <w:rPr/>
            </w:pPr>
            <w:r>
              <w:rPr/>
              <w:t> </w:t>
            </w:r>
          </w:p>
        </w:tc>
        <w:tc>
          <w:tcPr>
            <w:tcW w:w="104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 </w:t>
            </w:r>
          </w:p>
        </w:tc>
        <w:tc>
          <w:tcPr>
            <w:tcW w:w="102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w:t>
            </w:r>
          </w:p>
        </w:tc>
        <w:tc>
          <w:tcPr>
            <w:tcW w:w="525" w:type="dxa"/>
            <w:tcBorders/>
            <w:shd w:fill="CCEEFF" w:val="clear"/>
            <w:vAlign w:val="center"/>
          </w:tcPr>
          <w:p>
            <w:pPr>
              <w:pStyle w:val="TableContents"/>
              <w:bidi w:val="0"/>
              <w:spacing w:before="0" w:after="1"/>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156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sales</w:t>
            </w:r>
          </w:p>
        </w:tc>
        <w:tc>
          <w:tcPr>
            <w:tcW w:w="346" w:type="dxa"/>
            <w:tcBorders/>
            <w:vAlign w:val="center"/>
          </w:tcPr>
          <w:p>
            <w:pPr>
              <w:pStyle w:val="TableContents"/>
              <w:bidi w:val="0"/>
              <w:spacing w:before="0" w:after="1"/>
              <w:ind w:left="0" w:right="0" w:hanging="0"/>
              <w:jc w:val="left"/>
              <w:rPr/>
            </w:pPr>
            <w:r>
              <w:rPr/>
              <w:t> </w:t>
            </w:r>
          </w:p>
        </w:tc>
        <w:tc>
          <w:tcPr>
            <w:tcW w:w="10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7,675</w:t>
            </w:r>
          </w:p>
        </w:tc>
        <w:tc>
          <w:tcPr>
            <w:tcW w:w="631" w:type="dxa"/>
            <w:tcBorders/>
            <w:vAlign w:val="center"/>
          </w:tcPr>
          <w:p>
            <w:pPr>
              <w:pStyle w:val="TableContents"/>
              <w:bidi w:val="0"/>
              <w:spacing w:before="0" w:after="1"/>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1,340</w:t>
            </w:r>
          </w:p>
        </w:tc>
        <w:tc>
          <w:tcPr>
            <w:tcW w:w="346" w:type="dxa"/>
            <w:tcBorders/>
            <w:vAlign w:val="center"/>
          </w:tcPr>
          <w:p>
            <w:pPr>
              <w:pStyle w:val="TableContents"/>
              <w:bidi w:val="0"/>
              <w:spacing w:before="0" w:after="1"/>
              <w:ind w:left="0" w:right="0" w:hanging="0"/>
              <w:jc w:val="left"/>
              <w:rPr/>
            </w:pPr>
            <w:r>
              <w:rPr/>
              <w:t> </w:t>
            </w:r>
          </w:p>
        </w:tc>
        <w:tc>
          <w:tcPr>
            <w:tcW w:w="102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14,047</w:t>
            </w:r>
          </w:p>
        </w:tc>
        <w:tc>
          <w:tcPr>
            <w:tcW w:w="525" w:type="dxa"/>
            <w:tcBorders/>
            <w:vAlign w:val="center"/>
          </w:tcPr>
          <w:p>
            <w:pPr>
              <w:pStyle w:val="TableContents"/>
              <w:bidi w:val="0"/>
              <w:spacing w:before="0" w:after="1"/>
              <w:ind w:left="0" w:right="0" w:hanging="0"/>
              <w:jc w:val="left"/>
              <w:rPr/>
            </w:pPr>
            <w:r>
              <w:rPr/>
              <w:t> </w:t>
            </w:r>
          </w:p>
        </w:tc>
        <w:tc>
          <w:tcPr>
            <w:tcW w:w="1029"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2,404</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 period ended June 30, 2026, the Company had no customers with individual sales larger than 10% of the total revenue (2025: two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 period ended June 30, 2026, the Company had no customers with individual sales larger than 10% of the total revenue (2025: two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goods sold for the three and six months ended June 30, 2026 and 2025:</w:t>
      </w:r>
    </w:p>
    <w:tbl>
      <w:tblPr>
        <w:tblW w:w="7774" w:type="dxa"/>
        <w:jc w:val="left"/>
        <w:tblInd w:w="0" w:type="dxa"/>
        <w:tblLayout w:type="fixed"/>
        <w:tblCellMar>
          <w:top w:w="0" w:type="dxa"/>
          <w:left w:w="0" w:type="dxa"/>
          <w:bottom w:w="0" w:type="dxa"/>
          <w:right w:w="0" w:type="dxa"/>
        </w:tblCellMar>
      </w:tblPr>
      <w:tblGrid>
        <w:gridCol w:w="2971"/>
        <w:gridCol w:w="346"/>
        <w:gridCol w:w="840"/>
        <w:gridCol w:w="509"/>
        <w:gridCol w:w="796"/>
        <w:gridCol w:w="346"/>
        <w:gridCol w:w="732"/>
        <w:gridCol w:w="443"/>
        <w:gridCol w:w="791"/>
      </w:tblGrid>
      <w:tr>
        <w:trPr/>
        <w:tc>
          <w:tcPr>
            <w:tcW w:w="29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1886585" cy="175260"/>
                      <wp:effectExtent l="0" t="0" r="0" b="0"/>
                      <wp:wrapNone/>
                      <wp:docPr id="348" name="Frame341"/>
                      <a:graphic xmlns:a="http://schemas.openxmlformats.org/drawingml/2006/main">
                        <a:graphicData uri="http://schemas.microsoft.com/office/word/2010/wordprocessingShape">
                          <wps:wsp>
                            <wps:cNvSpPr txBox="1"/>
                            <wps:spPr>
                              <a:xfrm>
                                <a:off x="0" y="0"/>
                                <a:ext cx="1886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19710" cy="175260"/>
                      <wp:effectExtent l="0" t="0" r="0" b="0"/>
                      <wp:wrapNone/>
                      <wp:docPr id="349"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33400" cy="175260"/>
                      <wp:effectExtent l="0" t="0" r="0" b="0"/>
                      <wp:wrapNone/>
                      <wp:docPr id="350" name="Frame343"/>
                      <a:graphic xmlns:a="http://schemas.openxmlformats.org/drawingml/2006/main">
                        <a:graphicData uri="http://schemas.microsoft.com/office/word/2010/wordprocessingShape">
                          <wps:wsp>
                            <wps:cNvSpPr txBox="1"/>
                            <wps:spPr>
                              <a:xfrm>
                                <a:off x="0" y="0"/>
                                <a:ext cx="533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323215" cy="175260"/>
                      <wp:effectExtent l="0" t="0" r="0" b="0"/>
                      <wp:wrapNone/>
                      <wp:docPr id="351" name="Frame344"/>
                      <a:graphic xmlns:a="http://schemas.openxmlformats.org/drawingml/2006/main">
                        <a:graphicData uri="http://schemas.microsoft.com/office/word/2010/wordprocessingShape">
                          <wps:wsp>
                            <wps:cNvSpPr txBox="1"/>
                            <wps:spPr>
                              <a:xfrm>
                                <a:off x="0" y="0"/>
                                <a:ext cx="323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505460" cy="175260"/>
                      <wp:effectExtent l="0" t="0" r="0" b="0"/>
                      <wp:wrapNone/>
                      <wp:docPr id="352" name="Frame34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19710" cy="175260"/>
                      <wp:effectExtent l="0" t="0" r="0" b="0"/>
                      <wp:wrapNone/>
                      <wp:docPr id="353" name="Frame3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464820" cy="175260"/>
                      <wp:effectExtent l="0" t="0" r="0" b="0"/>
                      <wp:wrapNone/>
                      <wp:docPr id="354" name="Frame347"/>
                      <a:graphic xmlns:a="http://schemas.openxmlformats.org/drawingml/2006/main">
                        <a:graphicData uri="http://schemas.microsoft.com/office/word/2010/wordprocessingShape">
                          <wps:wsp>
                            <wps:cNvSpPr txBox="1"/>
                            <wps:spPr>
                              <a:xfrm>
                                <a:off x="0" y="0"/>
                                <a:ext cx="4648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81305" cy="175260"/>
                      <wp:effectExtent l="0" t="0" r="0" b="0"/>
                      <wp:wrapNone/>
                      <wp:docPr id="355" name="Frame348"/>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02285" cy="175260"/>
                      <wp:effectExtent l="0" t="0" r="0" b="0"/>
                      <wp:wrapNone/>
                      <wp:docPr id="356" name="Frame349"/>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71" w:type="dxa"/>
            <w:tcBorders/>
            <w:vAlign w:val="center"/>
          </w:tcPr>
          <w:p>
            <w:pPr>
              <w:pStyle w:val="TableContents"/>
              <w:pBdr/>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196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297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196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97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  ​ ​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09" w:type="dxa"/>
            <w:tcBorders/>
            <w:vAlign w:val="center"/>
          </w:tcPr>
          <w:p>
            <w:pPr>
              <w:pStyle w:val="TableContents"/>
              <w:bidi w:val="0"/>
              <w:spacing w:before="0" w:after="0"/>
              <w:ind w:left="0" w:right="0" w:hanging="0"/>
              <w:jc w:val="left"/>
              <w:rPr/>
            </w:pPr>
            <w:r>
              <w:rPr/>
              <w:t>  ​ ​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43" w:type="dxa"/>
            <w:tcBorders/>
            <w:vAlign w:val="center"/>
          </w:tcPr>
          <w:p>
            <w:pPr>
              <w:pStyle w:val="TableContents"/>
              <w:bidi w:val="0"/>
              <w:spacing w:before="0" w:after="0"/>
              <w:ind w:left="0" w:right="0" w:hanging="0"/>
              <w:jc w:val="left"/>
              <w:rPr/>
            </w:pPr>
            <w:r>
              <w:rPr/>
              <w:t>  ​ ​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97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Purchases of goods and services (*)</w:t>
            </w:r>
          </w:p>
        </w:tc>
        <w:tc>
          <w:tcPr>
            <w:tcW w:w="346" w:type="dxa"/>
            <w:tcBorders/>
            <w:shd w:fill="CCEEFF" w:val="clear"/>
            <w:vAlign w:val="center"/>
          </w:tcPr>
          <w:p>
            <w:pPr>
              <w:pStyle w:val="TableContents"/>
              <w:bidi w:val="0"/>
              <w:spacing w:before="0" w:after="0"/>
              <w:ind w:left="0" w:right="0" w:hanging="0"/>
              <w:jc w:val="left"/>
              <w:rPr/>
            </w:pPr>
            <w:r>
              <w:rPr/>
              <w:t> </w:t>
            </w:r>
          </w:p>
        </w:tc>
        <w:tc>
          <w:tcPr>
            <w:tcW w:w="84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2,452</w:t>
            </w:r>
          </w:p>
        </w:tc>
        <w:tc>
          <w:tcPr>
            <w:tcW w:w="5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46"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4,872</w:t>
            </w:r>
          </w:p>
        </w:tc>
        <w:tc>
          <w:tcPr>
            <w:tcW w:w="443" w:type="dxa"/>
            <w:tcBorders/>
            <w:shd w:fill="CCEEFF" w:val="clear"/>
            <w:vAlign w:val="center"/>
          </w:tcPr>
          <w:p>
            <w:pPr>
              <w:pStyle w:val="TableContents"/>
              <w:bidi w:val="0"/>
              <w:spacing w:before="0" w:after="0"/>
              <w:ind w:left="0" w:right="0" w:hanging="0"/>
              <w:jc w:val="left"/>
              <w:rPr/>
            </w:pPr>
            <w:r>
              <w:rPr/>
              <w:t> </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1,512</w:t>
            </w:r>
          </w:p>
        </w:tc>
      </w:tr>
      <w:tr>
        <w:trPr/>
        <w:tc>
          <w:tcPr>
            <w:tcW w:w="297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movement</w:t>
            </w:r>
          </w:p>
        </w:tc>
        <w:tc>
          <w:tcPr>
            <w:tcW w:w="346" w:type="dxa"/>
            <w:tcBorders/>
            <w:vAlign w:val="center"/>
          </w:tcPr>
          <w:p>
            <w:pPr>
              <w:pStyle w:val="TableContents"/>
              <w:bidi w:val="0"/>
              <w:spacing w:before="0" w:after="0"/>
              <w:ind w:left="0" w:right="0" w:hanging="0"/>
              <w:jc w:val="left"/>
              <w:rPr/>
            </w:pPr>
            <w:r>
              <w:rPr/>
              <w:t> </w:t>
            </w:r>
          </w:p>
        </w:tc>
        <w:tc>
          <w:tcPr>
            <w:tcW w:w="84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509"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46" w:type="dxa"/>
            <w:tcBorders/>
            <w:vAlign w:val="center"/>
          </w:tcPr>
          <w:p>
            <w:pPr>
              <w:pStyle w:val="TableContents"/>
              <w:bidi w:val="0"/>
              <w:spacing w:before="0" w:after="0"/>
              <w:ind w:left="0" w:right="0" w:hanging="0"/>
              <w:jc w:val="left"/>
              <w:rPr/>
            </w:pPr>
            <w:r>
              <w:rPr/>
              <w:t>​</w:t>
            </w:r>
          </w:p>
        </w:tc>
        <w:tc>
          <w:tcPr>
            <w:tcW w:w="73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w:t>
            </w:r>
          </w:p>
        </w:tc>
        <w:tc>
          <w:tcPr>
            <w:tcW w:w="443" w:type="dxa"/>
            <w:tcBorders/>
            <w:vAlign w:val="center"/>
          </w:tcPr>
          <w:p>
            <w:pPr>
              <w:pStyle w:val="TableContents"/>
              <w:bidi w:val="0"/>
              <w:spacing w:before="0" w:after="0"/>
              <w:ind w:left="0" w:right="0" w:hanging="0"/>
              <w:jc w:val="left"/>
              <w:rPr/>
            </w:pPr>
            <w:r>
              <w:rPr/>
              <w:t> </w:t>
            </w:r>
          </w:p>
        </w:tc>
        <w:tc>
          <w:tcPr>
            <w:tcW w:w="7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(616)</w:t>
            </w:r>
          </w:p>
        </w:tc>
      </w:tr>
      <w:tr>
        <w:trPr/>
        <w:tc>
          <w:tcPr>
            <w:tcW w:w="297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cost of goods sold</w:t>
            </w:r>
          </w:p>
        </w:tc>
        <w:tc>
          <w:tcPr>
            <w:tcW w:w="346" w:type="dxa"/>
            <w:tcBorders/>
            <w:shd w:fill="CCEEFF" w:val="clear"/>
            <w:vAlign w:val="center"/>
          </w:tcPr>
          <w:p>
            <w:pPr>
              <w:pStyle w:val="TableContents"/>
              <w:bidi w:val="0"/>
              <w:spacing w:before="0" w:after="0"/>
              <w:ind w:left="0" w:right="0" w:hanging="0"/>
              <w:jc w:val="left"/>
              <w:rPr/>
            </w:pPr>
            <w:r>
              <w:rPr/>
              <w:t> </w:t>
            </w:r>
          </w:p>
        </w:tc>
        <w:tc>
          <w:tcPr>
            <w:tcW w:w="8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3,091</w:t>
            </w:r>
          </w:p>
        </w:tc>
        <w:tc>
          <w:tcPr>
            <w:tcW w:w="509"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490</w:t>
            </w:r>
          </w:p>
        </w:tc>
        <w:tc>
          <w:tcPr>
            <w:tcW w:w="346" w:type="dxa"/>
            <w:tcBorders/>
            <w:shd w:fill="CCEEFF" w:val="cle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5,826</w:t>
            </w:r>
          </w:p>
        </w:tc>
        <w:tc>
          <w:tcPr>
            <w:tcW w:w="443" w:type="dxa"/>
            <w:tcBorders/>
            <w:shd w:fill="CCEEFF" w:val="cle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896</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w:t>
            </w:r>
          </w:p>
        </w:tc>
        <w:tc>
          <w:tcPr>
            <w:tcW w:w="988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Including purchases of raw material, direct labour allocation, indirect labour allocation, fees of subcontractors, warranty and shipping cost (direct)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tables below detail the operating expenses for the six months ended June 30, 2026 and 2025:</w:t>
      </w:r>
    </w:p>
    <w:p>
      <w:pPr>
        <w:pStyle w:val="TextBody"/>
        <w:bidi w:val="0"/>
        <w:spacing w:before="0" w:after="0"/>
        <w:ind w:left="0" w:right="0" w:hanging="0"/>
        <w:jc w:val="left"/>
        <w:rPr/>
      </w:pPr>
      <w:r>
        <w:rPr/>
        <w:t>​</w:t>
      </w:r>
    </w:p>
    <w:tbl>
      <w:tblPr>
        <w:tblW w:w="7777" w:type="dxa"/>
        <w:jc w:val="left"/>
        <w:tblInd w:w="0" w:type="dxa"/>
        <w:tblLayout w:type="fixed"/>
        <w:tblCellMar>
          <w:top w:w="0" w:type="dxa"/>
          <w:left w:w="0" w:type="dxa"/>
          <w:bottom w:w="0" w:type="dxa"/>
          <w:right w:w="0" w:type="dxa"/>
        </w:tblCellMar>
      </w:tblPr>
      <w:tblGrid>
        <w:gridCol w:w="3736"/>
        <w:gridCol w:w="346"/>
        <w:gridCol w:w="826"/>
        <w:gridCol w:w="346"/>
        <w:gridCol w:w="931"/>
        <w:gridCol w:w="346"/>
        <w:gridCol w:w="124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372360" cy="175260"/>
                      <wp:effectExtent l="0" t="0" r="0" b="0"/>
                      <wp:wrapNone/>
                      <wp:docPr id="357" name="Frame350"/>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524510" cy="175260"/>
                      <wp:effectExtent l="0" t="0" r="0" b="0"/>
                      <wp:wrapNone/>
                      <wp:docPr id="359" name="Frame352"/>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219710" cy="175260"/>
                      <wp:effectExtent l="0" t="0" r="0" b="0"/>
                      <wp:wrapNone/>
                      <wp:docPr id="360" name="Frame3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591185" cy="175260"/>
                      <wp:effectExtent l="0" t="0" r="0" b="0"/>
                      <wp:wrapNone/>
                      <wp:docPr id="361" name="Frame3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219710" cy="175260"/>
                      <wp:effectExtent l="0" t="0" r="0" b="0"/>
                      <wp:wrapNone/>
                      <wp:docPr id="362" name="Frame3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791210" cy="175260"/>
                      <wp:effectExtent l="0" t="0" r="0" b="0"/>
                      <wp:wrapNone/>
                      <wp:docPr id="363" name="Frame356"/>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6"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left"/>
              <w:rPr/>
            </w:pPr>
            <w:r>
              <w:rPr/>
              <w:t>​</w:t>
            </w:r>
          </w:p>
        </w:tc>
        <w:tc>
          <w:tcPr>
            <w:tcW w:w="12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expense for the</w:t>
            </w:r>
          </w:p>
        </w:tc>
      </w:tr>
      <w:tr>
        <w:trPr/>
        <w:tc>
          <w:tcPr>
            <w:tcW w:w="3736"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1"/>
              <w:ind w:left="0" w:right="0" w:hanging="0"/>
              <w:jc w:val="left"/>
              <w:rPr/>
            </w:pPr>
            <w:r>
              <w:rPr/>
              <w:t>  ​ ​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 cost</w:t>
            </w:r>
          </w:p>
        </w:tc>
        <w:tc>
          <w:tcPr>
            <w:tcW w:w="346" w:type="dxa"/>
            <w:tcBorders/>
            <w:vAlign w:val="center"/>
          </w:tcPr>
          <w:p>
            <w:pPr>
              <w:pStyle w:val="TableContents"/>
              <w:bidi w:val="0"/>
              <w:spacing w:before="0" w:after="1"/>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46" w:type="dxa"/>
            <w:tcBorders/>
            <w:vAlign w:val="center"/>
          </w:tcPr>
          <w:p>
            <w:pPr>
              <w:pStyle w:val="TableContents"/>
              <w:bidi w:val="0"/>
              <w:spacing w:before="0" w:after="1"/>
              <w:ind w:left="0" w:right="0" w:hanging="0"/>
              <w:jc w:val="left"/>
              <w:rPr/>
            </w:pPr>
            <w:r>
              <w:rPr/>
              <w:t>  ​ ​ ​</w:t>
            </w:r>
          </w:p>
        </w:tc>
        <w:tc>
          <w:tcPr>
            <w:tcW w:w="12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37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18,506</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18,347</w:t>
            </w:r>
          </w:p>
        </w:tc>
      </w:tr>
      <w:tr>
        <w:trPr/>
        <w:tc>
          <w:tcPr>
            <w:tcW w:w="3736"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30,992</w:t>
            </w:r>
          </w:p>
        </w:tc>
        <w:tc>
          <w:tcPr>
            <w:tcW w:w="34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pPr>
            <w:r>
              <w:rPr/>
              <w:t>—</w:t>
            </w:r>
          </w:p>
        </w:tc>
        <w:tc>
          <w:tcPr>
            <w:tcW w:w="346" w:type="dxa"/>
            <w:tcBorders/>
            <w:vAlign w:val="center"/>
          </w:tcPr>
          <w:p>
            <w:pPr>
              <w:pStyle w:val="TableContents"/>
              <w:bidi w:val="0"/>
              <w:spacing w:before="0" w:after="1"/>
              <w:ind w:left="0" w:right="0" w:hanging="0"/>
              <w:jc w:val="left"/>
              <w:rPr/>
            </w:pPr>
            <w:r>
              <w:rPr/>
              <w:t> </w:t>
            </w:r>
          </w:p>
        </w:tc>
        <w:tc>
          <w:tcPr>
            <w:tcW w:w="12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30,992</w:t>
            </w:r>
          </w:p>
        </w:tc>
      </w:tr>
      <w:tr>
        <w:trPr/>
        <w:tc>
          <w:tcPr>
            <w:tcW w:w="3736"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income/(expense)</w:t>
            </w:r>
          </w:p>
        </w:tc>
        <w:tc>
          <w:tcPr>
            <w:tcW w:w="346" w:type="dxa"/>
            <w:tcBorders/>
            <w:shd w:fill="CCEEFF" w:val="clear"/>
            <w:vAlign w:val="center"/>
          </w:tcPr>
          <w:p>
            <w:pPr>
              <w:pStyle w:val="TableContents"/>
              <w:bidi w:val="0"/>
              <w:spacing w:before="0" w:after="1"/>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46" w:type="dxa"/>
            <w:tcBorders/>
            <w:shd w:fill="CCEEFF" w:val="clear"/>
            <w:vAlign w:val="center"/>
          </w:tcPr>
          <w:p>
            <w:pPr>
              <w:pStyle w:val="TableContents"/>
              <w:bidi w:val="0"/>
              <w:spacing w:before="0" w:after="1"/>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r>
      <w:tr>
        <w:trPr/>
        <w:tc>
          <w:tcPr>
            <w:tcW w:w="3736"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For the six months ended June 30, 2026</w:t>
            </w:r>
          </w:p>
        </w:tc>
        <w:tc>
          <w:tcPr>
            <w:tcW w:w="346" w:type="dxa"/>
            <w:tcBorders/>
            <w:vAlign w:val="center"/>
          </w:tcPr>
          <w:p>
            <w:pPr>
              <w:pStyle w:val="TableContents"/>
              <w:bidi w:val="0"/>
              <w:spacing w:before="0" w:after="1"/>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49,458</w:t>
            </w:r>
          </w:p>
        </w:tc>
        <w:tc>
          <w:tcPr>
            <w:tcW w:w="34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(148)</w:t>
            </w:r>
          </w:p>
        </w:tc>
        <w:tc>
          <w:tcPr>
            <w:tcW w:w="346" w:type="dxa"/>
            <w:tcBorders/>
            <w:vAlign w:val="center"/>
          </w:tcPr>
          <w:p>
            <w:pPr>
              <w:pStyle w:val="TableContents"/>
              <w:bidi w:val="0"/>
              <w:spacing w:before="0" w:after="1"/>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49,310</w:t>
            </w:r>
          </w:p>
        </w:tc>
      </w:tr>
    </w:tbl>
    <w:p>
      <w:pPr>
        <w:pStyle w:val="TextBody"/>
        <w:bidi w:val="0"/>
        <w:spacing w:before="0" w:after="0"/>
        <w:ind w:left="0" w:right="0" w:hanging="0"/>
        <w:jc w:val="left"/>
        <w:rPr/>
      </w:pPr>
      <w:r>
        <w:rPr/>
        <w:t>​</w:t>
      </w:r>
    </w:p>
    <w:tbl>
      <w:tblPr>
        <w:tblW w:w="7777" w:type="dxa"/>
        <w:jc w:val="left"/>
        <w:tblInd w:w="0" w:type="dxa"/>
        <w:tblLayout w:type="fixed"/>
        <w:tblCellMar>
          <w:top w:w="0" w:type="dxa"/>
          <w:left w:w="0" w:type="dxa"/>
          <w:bottom w:w="0" w:type="dxa"/>
          <w:right w:w="0" w:type="dxa"/>
        </w:tblCellMar>
      </w:tblPr>
      <w:tblGrid>
        <w:gridCol w:w="3736"/>
        <w:gridCol w:w="346"/>
        <w:gridCol w:w="826"/>
        <w:gridCol w:w="346"/>
        <w:gridCol w:w="931"/>
        <w:gridCol w:w="346"/>
        <w:gridCol w:w="124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372360" cy="175260"/>
                      <wp:effectExtent l="0" t="0" r="0" b="0"/>
                      <wp:wrapNone/>
                      <wp:docPr id="364" name="Frame357"/>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5"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524510" cy="175260"/>
                      <wp:effectExtent l="0" t="0" r="0" b="0"/>
                      <wp:wrapNone/>
                      <wp:docPr id="366" name="Frame35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219710" cy="175260"/>
                      <wp:effectExtent l="0" t="0" r="0" b="0"/>
                      <wp:wrapNone/>
                      <wp:docPr id="367" name="Frame3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591185" cy="175260"/>
                      <wp:effectExtent l="0" t="0" r="0" b="0"/>
                      <wp:wrapNone/>
                      <wp:docPr id="368" name="Frame3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19710" cy="175260"/>
                      <wp:effectExtent l="0" t="0" r="0" b="0"/>
                      <wp:wrapNone/>
                      <wp:docPr id="369" name="Frame3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791210" cy="175260"/>
                      <wp:effectExtent l="0" t="0" r="0" b="0"/>
                      <wp:wrapNone/>
                      <wp:docPr id="370" name="Frame363"/>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  ​ ​ ​</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 for the</w:t>
            </w:r>
          </w:p>
        </w:tc>
      </w:tr>
      <w:tr>
        <w:trPr/>
        <w:tc>
          <w:tcPr>
            <w:tcW w:w="373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cost</w:t>
            </w:r>
          </w:p>
        </w:tc>
        <w:tc>
          <w:tcPr>
            <w:tcW w:w="34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46" w:type="dxa"/>
            <w:tcBorders/>
            <w:vAlign w:val="center"/>
          </w:tcPr>
          <w:p>
            <w:pPr>
              <w:pStyle w:val="TableContents"/>
              <w:bidi w:val="0"/>
              <w:spacing w:before="0" w:after="0"/>
              <w:ind w:left="0" w:right="0" w:hanging="0"/>
              <w:jc w:val="left"/>
              <w:rPr/>
            </w:pPr>
            <w:r>
              <w:rPr/>
              <w:t>​</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37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20,602</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(1,554)</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19,048</w:t>
            </w:r>
          </w:p>
        </w:tc>
      </w:tr>
      <w:tr>
        <w:trPr/>
        <w:tc>
          <w:tcPr>
            <w:tcW w:w="37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23,063</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23,063</w:t>
            </w:r>
          </w:p>
        </w:tc>
      </w:tr>
      <w:tr>
        <w:trPr/>
        <w:tc>
          <w:tcPr>
            <w:tcW w:w="37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income/(expense)</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373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six months ended June 30, 2025</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43,494</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(1,498)</w:t>
            </w:r>
          </w:p>
        </w:tc>
        <w:tc>
          <w:tcPr>
            <w:tcW w:w="346" w:type="dxa"/>
            <w:tcBorders/>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41,996</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bookmarkStart w:id="1599" w:name="Tc_dX_72DZfYUmH0pBisrCP1Q_15_0"/>
      <w:bookmarkStart w:id="1600" w:name="Tc_SlzjamRlXUuuQ6vnczQV6g_14_2"/>
      <w:bookmarkStart w:id="1601" w:name="Tc_6kFl1tbW3UaK0sWKV0nOPw_14_0"/>
      <w:bookmarkStart w:id="1602" w:name="Tc_qTrs6znTXkCdrJah2zaYgA_13_0"/>
      <w:bookmarkStart w:id="1603" w:name="Tc_s1l5w5xjZEOML7-7OHCH_w_12_0"/>
      <w:bookmarkStart w:id="1604" w:name="Tc_QQMKyxdHY0Gm23Is6Pc7Ew_11_0"/>
      <w:bookmarkStart w:id="1605" w:name="Tc_qaLNpBMbUk2Tg0Ox8xt3Gw_10_0"/>
      <w:bookmarkStart w:id="1606" w:name="Tc_YE-_jtl7-0m35ZhtfzTgpA_9_0"/>
      <w:bookmarkStart w:id="1607" w:name="Tc_dyEdHeRPTkaTW2oe5q14ZQ_8_0"/>
      <w:bookmarkStart w:id="1608" w:name="Tc_qTmlq67osUGtPnvDmum2rQ_7_0"/>
      <w:bookmarkStart w:id="1609" w:name="Tc_1n9A9cny_0Kd6JNW4H-s3Q_6_0"/>
      <w:bookmarkStart w:id="1610" w:name="Tc_2iaXdD1Md0uFIaAPGMbaCA_5_0"/>
      <w:bookmarkStart w:id="1611" w:name="Tc_wkDw82qwhkG7D-7TusgLnQ_4_0"/>
      <w:bookmarkStart w:id="1612" w:name="Tc_vUbWK69AZEiXF4r4dkL7rA_3_8"/>
      <w:bookmarkStart w:id="1613" w:name="Tc_Zhgbbghuz0mUMk14PI9Oqg_3_6"/>
      <w:bookmarkStart w:id="1614" w:name="Tc_C0E9bQI8hk-5jXhZ4BFL2Q_3_4"/>
      <w:bookmarkStart w:id="1615" w:name="Tc_odnBrmy5UEGEq_r4foovYw_3_2"/>
      <w:bookmarkStart w:id="1616" w:name="Tc_8mxCmy9bYE64hx8w-mol3Q_3_0"/>
      <w:bookmarkStart w:id="1617" w:name="Tc_MD-100B9jUOT2O9dJdHEfg_2_6"/>
      <w:bookmarkStart w:id="1618" w:name="Tc_qmqVPfaTFUm-MNGn22nByg_2_2"/>
      <w:bookmarkStart w:id="1619" w:name="Tc_5FK4N26rLUWuMYUtUv34ew_1_6"/>
      <w:bookmarkStart w:id="1620" w:name="Tc_R-FdhadolkWF4ehEY2ctAw_1_2"/>
      <w:bookmarkStart w:id="1621" w:name="Tc_e6gcrwlmk0SKbrpoq7Iiow_7_0"/>
      <w:bookmarkStart w:id="1622" w:name="Tc_4nzuX05wQk2-nRIXvl4ePg_6_0"/>
      <w:bookmarkStart w:id="1623" w:name="Tc_SgRuvw5JvUOybkHwaJFSLA_5_0"/>
      <w:bookmarkStart w:id="1624" w:name="Tc_Z4oWGXBpoE2f5LsTxYxeVg_4_0"/>
      <w:bookmarkStart w:id="1625" w:name="Tc_76ZhA0fM-UymZ_EMT9KaVw_3_6"/>
      <w:bookmarkStart w:id="1626" w:name="Tc_5j27eT32S06nbV7yFjI7iw_3_4"/>
      <w:bookmarkStart w:id="1627" w:name="Tc_CQmgvCGrQEu-BAFzyqxziw_3_2"/>
      <w:bookmarkStart w:id="1628" w:name="Tc_rpUS3sSK7kuB4ccfljkExg_3_0"/>
      <w:bookmarkStart w:id="1629" w:name="Tc_bg7SaTZbyEWBYRTnQJnndQ_2_6"/>
      <w:bookmarkStart w:id="1630" w:name="Tc_2Coh4FJuLUa8u5DKCvy88A_1_6"/>
      <w:bookmarkStart w:id="1631" w:name="Tc_SVkJe-llSUiswRV_7KYi9A_7_0"/>
      <w:bookmarkStart w:id="1632" w:name="Tc_u-oeO2JCtU6IfObSfTAYrg_6_0"/>
      <w:bookmarkStart w:id="1633" w:name="Tc_W_CqNFFFT0y9r6uZd6qpaw_5_0"/>
      <w:bookmarkStart w:id="1634" w:name="Tc_Zm0sePNVEU-nxAQcbwvb4w_4_4"/>
      <w:bookmarkStart w:id="1635" w:name="Tc_G8RhGpPWDkm3rfPy6wu-dg_4_0"/>
      <w:bookmarkStart w:id="1636" w:name="Tc_7Nr4iu8SQEilfVu1f1zCkQ_3_6"/>
      <w:bookmarkStart w:id="1637" w:name="Tc_2o77FCovkkqRUM9H5eVlLg_3_4"/>
      <w:bookmarkStart w:id="1638" w:name="Tc_ZBD9O9tCCUKMOLCdqyFadA_3_2"/>
      <w:bookmarkStart w:id="1639" w:name="Tc_egOk0Z1FL0O67__L2Dyy7Q_3_0"/>
      <w:bookmarkStart w:id="1640" w:name="Tc_Bdi_CUWY4E6xVhIonlqfgw_2_6"/>
      <w:bookmarkStart w:id="1641" w:name="Tc_XS_ZwMY7mEWyD1mBDmGyqg_1_6"/>
      <w:bookmarkEnd w:id="1599"/>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bookmarkEnd w:id="1614"/>
      <w:bookmarkEnd w:id="1615"/>
      <w:bookmarkEnd w:id="1616"/>
      <w:bookmarkEnd w:id="1617"/>
      <w:bookmarkEnd w:id="1618"/>
      <w:bookmarkEnd w:id="1619"/>
      <w:bookmarkEnd w:id="1620"/>
      <w:bookmarkEnd w:id="1621"/>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bookmarkEnd w:id="1639"/>
      <w:bookmarkEnd w:id="1640"/>
      <w:bookmarkEnd w:id="1641"/>
      <w:r>
        <w:rPr>
          <w:rFonts w:ascii="Times New Roman;Times;serif" w:hAnsi="Times New Roman;Times;serif"/>
          <w:sz w:val="20"/>
        </w:rPr>
        <w:t>The tables below detail the operating expenses for the three months ended June 30, 2026 and 2025:</w:t>
      </w:r>
    </w:p>
    <w:p>
      <w:pPr>
        <w:pStyle w:val="TextBody"/>
        <w:bidi w:val="0"/>
        <w:spacing w:before="0" w:after="0"/>
        <w:ind w:left="0" w:right="0" w:hanging="0"/>
        <w:jc w:val="left"/>
        <w:rPr/>
      </w:pPr>
      <w:r>
        <w:rPr/>
        <w:t>​</w:t>
      </w:r>
    </w:p>
    <w:tbl>
      <w:tblPr>
        <w:tblW w:w="7822" w:type="dxa"/>
        <w:jc w:val="left"/>
        <w:tblInd w:w="0" w:type="dxa"/>
        <w:tblLayout w:type="fixed"/>
        <w:tblCellMar>
          <w:top w:w="0" w:type="dxa"/>
          <w:left w:w="0" w:type="dxa"/>
          <w:bottom w:w="0" w:type="dxa"/>
          <w:right w:w="0" w:type="dxa"/>
        </w:tblCellMar>
      </w:tblPr>
      <w:tblGrid>
        <w:gridCol w:w="3736"/>
        <w:gridCol w:w="346"/>
        <w:gridCol w:w="826"/>
        <w:gridCol w:w="346"/>
        <w:gridCol w:w="931"/>
        <w:gridCol w:w="346"/>
        <w:gridCol w:w="129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372360" cy="175260"/>
                      <wp:effectExtent l="0" t="0" r="0" b="0"/>
                      <wp:wrapNone/>
                      <wp:docPr id="371" name="Frame364"/>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219710" cy="175260"/>
                      <wp:effectExtent l="0" t="0" r="0" b="0"/>
                      <wp:wrapNone/>
                      <wp:docPr id="372"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524510" cy="175260"/>
                      <wp:effectExtent l="0" t="0" r="0" b="0"/>
                      <wp:wrapNone/>
                      <wp:docPr id="373" name="Frame36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91185" cy="175260"/>
                      <wp:effectExtent l="0" t="0" r="0" b="0"/>
                      <wp:wrapNone/>
                      <wp:docPr id="375" name="Frame36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19710" cy="175260"/>
                      <wp:effectExtent l="0" t="0" r="0" b="0"/>
                      <wp:wrapNone/>
                      <wp:docPr id="376" name="Frame3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819785" cy="175260"/>
                      <wp:effectExtent l="0" t="0" r="0" b="0"/>
                      <wp:wrapNone/>
                      <wp:docPr id="377" name="Frame370"/>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 for the </w:t>
            </w:r>
          </w:p>
        </w:tc>
      </w:tr>
      <w:tr>
        <w:trPr/>
        <w:tc>
          <w:tcPr>
            <w:tcW w:w="373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cost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46" w:type="dxa"/>
            <w:tcBorders/>
            <w:vAlign w:val="center"/>
          </w:tcPr>
          <w:p>
            <w:pPr>
              <w:pStyle w:val="TableContents"/>
              <w:bidi w:val="0"/>
              <w:spacing w:before="0" w:after="0"/>
              <w:ind w:left="0" w:right="0" w:hanging="0"/>
              <w:jc w:val="center"/>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37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9,543</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9,543</w:t>
            </w:r>
          </w:p>
        </w:tc>
      </w:tr>
      <w:tr>
        <w:trPr/>
        <w:tc>
          <w:tcPr>
            <w:tcW w:w="37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15,618</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15,618</w:t>
            </w:r>
          </w:p>
        </w:tc>
      </w:tr>
      <w:tr>
        <w:trPr/>
        <w:tc>
          <w:tcPr>
            <w:tcW w:w="37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income/(expense)</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373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months ended June 30, 2026</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25,167</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w:t>
            </w:r>
          </w:p>
        </w:tc>
        <w:tc>
          <w:tcPr>
            <w:tcW w:w="34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25,172</w:t>
            </w:r>
          </w:p>
        </w:tc>
      </w:tr>
    </w:tbl>
    <w:p>
      <w:pPr>
        <w:pStyle w:val="TextBody"/>
        <w:bidi w:val="0"/>
        <w:spacing w:before="0" w:after="0"/>
        <w:ind w:left="0" w:right="0" w:hanging="0"/>
        <w:jc w:val="left"/>
        <w:rPr/>
      </w:pPr>
      <w:r>
        <w:rPr/>
        <w:t>​</w:t>
      </w:r>
    </w:p>
    <w:tbl>
      <w:tblPr>
        <w:tblW w:w="7822" w:type="dxa"/>
        <w:jc w:val="left"/>
        <w:tblInd w:w="0" w:type="dxa"/>
        <w:tblLayout w:type="fixed"/>
        <w:tblCellMar>
          <w:top w:w="0" w:type="dxa"/>
          <w:left w:w="0" w:type="dxa"/>
          <w:bottom w:w="0" w:type="dxa"/>
          <w:right w:w="0" w:type="dxa"/>
        </w:tblCellMar>
      </w:tblPr>
      <w:tblGrid>
        <w:gridCol w:w="3736"/>
        <w:gridCol w:w="346"/>
        <w:gridCol w:w="826"/>
        <w:gridCol w:w="346"/>
        <w:gridCol w:w="931"/>
        <w:gridCol w:w="346"/>
        <w:gridCol w:w="1291"/>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372360" cy="175260"/>
                      <wp:effectExtent l="0" t="0" r="0" b="0"/>
                      <wp:wrapNone/>
                      <wp:docPr id="378" name="Frame371"/>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19710" cy="175260"/>
                      <wp:effectExtent l="0" t="0" r="0" b="0"/>
                      <wp:wrapNone/>
                      <wp:docPr id="379" name="Frame3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524510" cy="175260"/>
                      <wp:effectExtent l="0" t="0" r="0" b="0"/>
                      <wp:wrapNone/>
                      <wp:docPr id="380" name="Frame373"/>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219710" cy="175260"/>
                      <wp:effectExtent l="0" t="0" r="0" b="0"/>
                      <wp:wrapNone/>
                      <wp:docPr id="381"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591185" cy="175260"/>
                      <wp:effectExtent l="0" t="0" r="0" b="0"/>
                      <wp:wrapNone/>
                      <wp:docPr id="382" name="Frame37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819785" cy="175260"/>
                      <wp:effectExtent l="0" t="0" r="0" b="0"/>
                      <wp:wrapNone/>
                      <wp:docPr id="384" name="Frame377"/>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Operating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expense for the </w:t>
            </w:r>
          </w:p>
        </w:tc>
      </w:tr>
      <w:tr>
        <w:trPr/>
        <w:tc>
          <w:tcPr>
            <w:tcW w:w="373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 cost</w:t>
            </w:r>
          </w:p>
        </w:tc>
        <w:tc>
          <w:tcPr>
            <w:tcW w:w="34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Capitalized</w:t>
            </w:r>
          </w:p>
        </w:tc>
        <w:tc>
          <w:tcPr>
            <w:tcW w:w="346" w:type="dxa"/>
            <w:tcBorders/>
            <w:vAlign w:val="center"/>
          </w:tcPr>
          <w:p>
            <w:pPr>
              <w:pStyle w:val="TableContents"/>
              <w:bidi w:val="0"/>
              <w:spacing w:before="0" w:after="0"/>
              <w:ind w:left="0" w:right="0" w:hanging="0"/>
              <w:jc w:val="center"/>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period</w:t>
            </w:r>
          </w:p>
        </w:tc>
      </w:tr>
      <w:tr>
        <w:trPr/>
        <w:tc>
          <w:tcPr>
            <w:tcW w:w="37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10,750</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(691)</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10,059</w:t>
            </w:r>
          </w:p>
        </w:tc>
      </w:tr>
      <w:tr>
        <w:trPr/>
        <w:tc>
          <w:tcPr>
            <w:tcW w:w="373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10,672</w:t>
            </w:r>
          </w:p>
        </w:tc>
        <w:tc>
          <w:tcPr>
            <w:tcW w:w="34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10,672</w:t>
            </w:r>
          </w:p>
        </w:tc>
      </w:tr>
      <w:tr>
        <w:trPr/>
        <w:tc>
          <w:tcPr>
            <w:tcW w:w="373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income/(expense)</w:t>
            </w:r>
          </w:p>
        </w:tc>
        <w:tc>
          <w:tcPr>
            <w:tcW w:w="346" w:type="dxa"/>
            <w:tcBorders/>
            <w:shd w:fill="CCEEFF" w:val="clear"/>
            <w:vAlign w:val="center"/>
          </w:tcPr>
          <w:p>
            <w:pPr>
              <w:pStyle w:val="TableContents"/>
              <w:bidi w:val="0"/>
              <w:spacing w:before="0" w:after="0"/>
              <w:ind w:left="0" w:right="0" w:hanging="0"/>
              <w:jc w:val="left"/>
              <w:rPr/>
            </w:pPr>
            <w:r>
              <w:rPr/>
              <w:t> </w:t>
            </w:r>
          </w:p>
        </w:tc>
        <w:tc>
          <w:tcPr>
            <w:tcW w:w="8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4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 </w:t>
            </w:r>
          </w:p>
        </w:tc>
        <w:tc>
          <w:tcPr>
            <w:tcW w:w="12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73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three months ended June 30, 2025</w:t>
            </w:r>
          </w:p>
        </w:tc>
        <w:tc>
          <w:tcPr>
            <w:tcW w:w="346" w:type="dxa"/>
            <w:tcBorders/>
            <w:vAlign w:val="center"/>
          </w:tcPr>
          <w:p>
            <w:pPr>
              <w:pStyle w:val="TableContents"/>
              <w:bidi w:val="0"/>
              <w:spacing w:before="0" w:after="0"/>
              <w:ind w:left="0" w:right="0" w:hanging="0"/>
              <w:jc w:val="left"/>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21,366</w:t>
            </w:r>
          </w:p>
        </w:tc>
        <w:tc>
          <w:tcPr>
            <w:tcW w:w="34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(666)</w:t>
            </w:r>
          </w:p>
        </w:tc>
        <w:tc>
          <w:tcPr>
            <w:tcW w:w="34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20,700</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0"/>
        <w:ind w:left="0" w:right="0" w:hanging="0"/>
        <w:jc w:val="left"/>
        <w:rPr/>
      </w:pPr>
      <w:r>
        <w:rPr/>
        <w:t>​</w:t>
      </w:r>
    </w:p>
    <w:tbl>
      <w:tblPr>
        <w:tblW w:w="8584" w:type="dxa"/>
        <w:jc w:val="left"/>
        <w:tblInd w:w="0" w:type="dxa"/>
        <w:tblLayout w:type="fixed"/>
        <w:tblCellMar>
          <w:top w:w="0" w:type="dxa"/>
          <w:left w:w="0" w:type="dxa"/>
          <w:bottom w:w="0" w:type="dxa"/>
          <w:right w:w="0" w:type="dxa"/>
        </w:tblCellMar>
      </w:tblPr>
      <w:tblGrid>
        <w:gridCol w:w="3736"/>
        <w:gridCol w:w="346"/>
        <w:gridCol w:w="769"/>
        <w:gridCol w:w="466"/>
        <w:gridCol w:w="910"/>
        <w:gridCol w:w="346"/>
        <w:gridCol w:w="753"/>
        <w:gridCol w:w="385"/>
        <w:gridCol w:w="873"/>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372360" cy="175260"/>
                      <wp:effectExtent l="0" t="0" r="0" b="0"/>
                      <wp:wrapNone/>
                      <wp:docPr id="385" name="Frame378"/>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488315" cy="175260"/>
                      <wp:effectExtent l="0" t="0" r="0" b="0"/>
                      <wp:wrapNone/>
                      <wp:docPr id="387" name="Frame380"/>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295910" cy="175260"/>
                      <wp:effectExtent l="0" t="0" r="0" b="0"/>
                      <wp:wrapNone/>
                      <wp:docPr id="388" name="Frame38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577850" cy="175260"/>
                      <wp:effectExtent l="0" t="0" r="0" b="0"/>
                      <wp:wrapNone/>
                      <wp:docPr id="389" name="Frame382"/>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478155" cy="175260"/>
                      <wp:effectExtent l="0" t="0" r="0" b="0"/>
                      <wp:wrapNone/>
                      <wp:docPr id="391" name="Frame384"/>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44475" cy="175260"/>
                      <wp:effectExtent l="0" t="0" r="0" b="0"/>
                      <wp:wrapNone/>
                      <wp:docPr id="392" name="Frame385"/>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54355" cy="175260"/>
                      <wp:effectExtent l="0" t="0" r="0" b="0"/>
                      <wp:wrapNone/>
                      <wp:docPr id="393" name="Frame386"/>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4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center"/>
              <w:rPr/>
            </w:pPr>
            <w:r>
              <w:rPr/>
              <w:t>​</w:t>
            </w:r>
          </w:p>
        </w:tc>
        <w:tc>
          <w:tcPr>
            <w:tcW w:w="2011"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w:t>
            </w:r>
          </w:p>
        </w:tc>
      </w:tr>
      <w:tr>
        <w:trPr/>
        <w:tc>
          <w:tcPr>
            <w:tcW w:w="373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4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center"/>
              <w:rPr/>
            </w:pPr>
            <w:r>
              <w:rPr/>
              <w:t>​</w:t>
            </w:r>
          </w:p>
        </w:tc>
        <w:tc>
          <w:tcPr>
            <w:tcW w:w="201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1"/>
              <w:ind w:left="0" w:right="0" w:hanging="0"/>
              <w:jc w:val="center"/>
              <w:rPr/>
            </w:pPr>
            <w:r>
              <w:rPr/>
              <w:t>  ​ ​ ​</w:t>
            </w:r>
          </w:p>
        </w:tc>
        <w:tc>
          <w:tcPr>
            <w:tcW w:w="7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6" w:type="dxa"/>
            <w:tcBorders/>
            <w:vAlign w:val="center"/>
          </w:tcPr>
          <w:p>
            <w:pPr>
              <w:pStyle w:val="TableContents"/>
              <w:bidi w:val="0"/>
              <w:spacing w:before="0" w:after="1"/>
              <w:ind w:left="0" w:right="0" w:hanging="0"/>
              <w:jc w:val="center"/>
              <w:rPr/>
            </w:pPr>
            <w:r>
              <w:rPr/>
              <w:t>  ​ ​ ​</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5" w:type="dxa"/>
            <w:tcBorders/>
            <w:vAlign w:val="center"/>
          </w:tcPr>
          <w:p>
            <w:pPr>
              <w:pStyle w:val="TableContents"/>
              <w:bidi w:val="0"/>
              <w:spacing w:before="0" w:after="1"/>
              <w:ind w:left="0" w:right="0" w:hanging="0"/>
              <w:jc w:val="center"/>
              <w:rPr/>
            </w:pPr>
            <w:r>
              <w:rPr/>
              <w:t>  ​ ​ ​</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Staff costs</w:t>
            </w:r>
          </w:p>
        </w:tc>
        <w:tc>
          <w:tcPr>
            <w:tcW w:w="346"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3,050</w:t>
            </w:r>
          </w:p>
        </w:tc>
        <w:tc>
          <w:tcPr>
            <w:tcW w:w="46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3,700</w:t>
            </w:r>
          </w:p>
        </w:tc>
        <w:tc>
          <w:tcPr>
            <w:tcW w:w="34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5,775</w:t>
            </w:r>
          </w:p>
        </w:tc>
        <w:tc>
          <w:tcPr>
            <w:tcW w:w="385"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8,280</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Consulting and contractors’ fees</w:t>
            </w:r>
          </w:p>
        </w:tc>
        <w:tc>
          <w:tcPr>
            <w:tcW w:w="346"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2,234</w:t>
            </w:r>
          </w:p>
        </w:tc>
        <w:tc>
          <w:tcPr>
            <w:tcW w:w="46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3,004</w:t>
            </w:r>
          </w:p>
        </w:tc>
        <w:tc>
          <w:tcPr>
            <w:tcW w:w="34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4,246</w:t>
            </w:r>
          </w:p>
        </w:tc>
        <w:tc>
          <w:tcPr>
            <w:tcW w:w="385"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3,877</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Q&amp;A regulatory</w:t>
            </w:r>
          </w:p>
        </w:tc>
        <w:tc>
          <w:tcPr>
            <w:tcW w:w="346"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w:t>
            </w:r>
          </w:p>
        </w:tc>
        <w:tc>
          <w:tcPr>
            <w:tcW w:w="46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w:t>
            </w:r>
          </w:p>
        </w:tc>
        <w:tc>
          <w:tcPr>
            <w:tcW w:w="385"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1,470</w:t>
            </w:r>
          </w:p>
        </w:tc>
        <w:tc>
          <w:tcPr>
            <w:tcW w:w="46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418</w:t>
            </w:r>
          </w:p>
        </w:tc>
        <w:tc>
          <w:tcPr>
            <w:tcW w:w="34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2,746</w:t>
            </w:r>
          </w:p>
        </w:tc>
        <w:tc>
          <w:tcPr>
            <w:tcW w:w="385"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829</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Travel</w:t>
            </w:r>
          </w:p>
        </w:tc>
        <w:tc>
          <w:tcPr>
            <w:tcW w:w="346"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c>
          <w:tcPr>
            <w:tcW w:w="46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434</w:t>
            </w:r>
          </w:p>
        </w:tc>
        <w:tc>
          <w:tcPr>
            <w:tcW w:w="34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w:t>
            </w:r>
          </w:p>
        </w:tc>
        <w:tc>
          <w:tcPr>
            <w:tcW w:w="385"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Manufacturing and outsourced development</w:t>
            </w:r>
          </w:p>
        </w:tc>
        <w:tc>
          <w:tcPr>
            <w:tcW w:w="346"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803</w:t>
            </w:r>
          </w:p>
        </w:tc>
        <w:tc>
          <w:tcPr>
            <w:tcW w:w="46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1,292</w:t>
            </w:r>
          </w:p>
        </w:tc>
        <w:tc>
          <w:tcPr>
            <w:tcW w:w="34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1,912</w:t>
            </w:r>
          </w:p>
        </w:tc>
        <w:tc>
          <w:tcPr>
            <w:tcW w:w="385"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2,600</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Clinical studies</w:t>
            </w:r>
          </w:p>
        </w:tc>
        <w:tc>
          <w:tcPr>
            <w:tcW w:w="346"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1,049</w:t>
            </w:r>
          </w:p>
        </w:tc>
        <w:tc>
          <w:tcPr>
            <w:tcW w:w="46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1,396</w:t>
            </w:r>
          </w:p>
        </w:tc>
        <w:tc>
          <w:tcPr>
            <w:tcW w:w="34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2,073</w:t>
            </w:r>
          </w:p>
        </w:tc>
        <w:tc>
          <w:tcPr>
            <w:tcW w:w="385"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3,250</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IT</w:t>
            </w:r>
          </w:p>
        </w:tc>
        <w:tc>
          <w:tcPr>
            <w:tcW w:w="346" w:type="dxa"/>
            <w:tcBorders/>
            <w:vAlign w:val="center"/>
          </w:tcPr>
          <w:p>
            <w:pPr>
              <w:pStyle w:val="TableContents"/>
              <w:bidi w:val="0"/>
              <w:spacing w:before="0" w:after="1"/>
              <w:ind w:left="0" w:right="0" w:hanging="0"/>
              <w:jc w:val="left"/>
              <w:rPr/>
            </w:pPr>
            <w:r>
              <w:rPr/>
              <w:t> </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46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c>
          <w:tcPr>
            <w:tcW w:w="385"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Rent</w:t>
            </w:r>
          </w:p>
        </w:tc>
        <w:tc>
          <w:tcPr>
            <w:tcW w:w="346" w:type="dxa"/>
            <w:tcBorders/>
            <w:shd w:fill="CCEEFF" w:val="clear"/>
            <w:vAlign w:val="center"/>
          </w:tcPr>
          <w:p>
            <w:pPr>
              <w:pStyle w:val="TableContents"/>
              <w:bidi w:val="0"/>
              <w:spacing w:before="0" w:after="1"/>
              <w:ind w:left="0" w:right="0" w:hanging="0"/>
              <w:jc w:val="left"/>
              <w:rPr/>
            </w:pPr>
            <w:r>
              <w:rPr/>
              <w:t> </w:t>
            </w:r>
          </w:p>
        </w:tc>
        <w:tc>
          <w:tcPr>
            <w:tcW w:w="76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466" w:type="dxa"/>
            <w:tcBorders/>
            <w:shd w:fill="CCEEFF" w:val="clear"/>
            <w:vAlign w:val="center"/>
          </w:tcPr>
          <w:p>
            <w:pPr>
              <w:pStyle w:val="TableContents"/>
              <w:bidi w:val="0"/>
              <w:spacing w:before="0" w:after="1"/>
              <w:ind w:left="0" w:right="0" w:hanging="0"/>
              <w:jc w:val="left"/>
              <w:rPr/>
            </w:pPr>
            <w:r>
              <w:rPr/>
              <w:t>​</w:t>
            </w:r>
          </w:p>
        </w:tc>
        <w:tc>
          <w:tcPr>
            <w:tcW w:w="91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w:t>
            </w:r>
          </w:p>
        </w:tc>
        <w:tc>
          <w:tcPr>
            <w:tcW w:w="385"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expenses</w:t>
            </w:r>
          </w:p>
        </w:tc>
        <w:tc>
          <w:tcPr>
            <w:tcW w:w="346" w:type="dxa"/>
            <w:tcBorders/>
            <w:vAlign w:val="center"/>
          </w:tcPr>
          <w:p>
            <w:pPr>
              <w:pStyle w:val="TableContents"/>
              <w:bidi w:val="0"/>
              <w:spacing w:before="0" w:after="1"/>
              <w:ind w:left="0" w:right="0" w:hanging="0"/>
              <w:jc w:val="left"/>
              <w:rPr/>
            </w:pPr>
            <w:r>
              <w:rPr/>
              <w:t>​</w:t>
            </w:r>
          </w:p>
        </w:tc>
        <w:tc>
          <w:tcPr>
            <w:tcW w:w="76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w:t>
            </w:r>
          </w:p>
        </w:tc>
        <w:tc>
          <w:tcPr>
            <w:tcW w:w="466" w:type="dxa"/>
            <w:tcBorders/>
            <w:vAlign w:val="center"/>
          </w:tcPr>
          <w:p>
            <w:pPr>
              <w:pStyle w:val="TableContents"/>
              <w:bidi w:val="0"/>
              <w:spacing w:before="0" w:after="1"/>
              <w:ind w:left="0" w:right="0" w:hanging="0"/>
              <w:jc w:val="left"/>
              <w:rPr/>
            </w:pPr>
            <w:r>
              <w:rPr/>
              <w:t>​</w:t>
            </w:r>
          </w:p>
        </w:tc>
        <w:tc>
          <w:tcPr>
            <w:tcW w:w="91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w:t>
            </w:r>
          </w:p>
        </w:tc>
        <w:tc>
          <w:tcPr>
            <w:tcW w:w="385" w:type="dxa"/>
            <w:tcBorders/>
            <w:vAlign w:val="center"/>
          </w:tcPr>
          <w:p>
            <w:pPr>
              <w:pStyle w:val="TableContents"/>
              <w:bidi w:val="0"/>
              <w:spacing w:before="0" w:after="1"/>
              <w:ind w:left="0" w:right="0" w:hanging="0"/>
              <w:jc w:val="left"/>
              <w:rPr/>
            </w:pPr>
            <w:r>
              <w:rPr/>
              <w:t>​</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639</w:t>
            </w:r>
          </w:p>
        </w:tc>
      </w:tr>
      <w:tr>
        <w:trPr/>
        <w:tc>
          <w:tcPr>
            <w:tcW w:w="37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Capitalized costs</w:t>
            </w:r>
          </w:p>
        </w:tc>
        <w:tc>
          <w:tcPr>
            <w:tcW w:w="346" w:type="dxa"/>
            <w:tcBorders/>
            <w:shd w:fill="CCEEFF" w:val="clear"/>
            <w:vAlign w:val="center"/>
          </w:tcPr>
          <w:p>
            <w:pPr>
              <w:pStyle w:val="TableContents"/>
              <w:bidi w:val="0"/>
              <w:spacing w:before="0" w:after="1"/>
              <w:ind w:left="0" w:right="0" w:hanging="0"/>
              <w:jc w:val="left"/>
              <w:rPr/>
            </w:pPr>
            <w:r>
              <w:rPr/>
              <w:t> </w:t>
            </w:r>
          </w:p>
        </w:tc>
        <w:tc>
          <w:tcPr>
            <w:tcW w:w="76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466" w:type="dxa"/>
            <w:tcBorders/>
            <w:shd w:fill="CCEEFF" w:val="clear"/>
            <w:vAlign w:val="center"/>
          </w:tcPr>
          <w:p>
            <w:pPr>
              <w:pStyle w:val="TableContents"/>
              <w:bidi w:val="0"/>
              <w:spacing w:before="0" w:after="1"/>
              <w:ind w:left="0" w:right="0" w:hanging="0"/>
              <w:jc w:val="left"/>
              <w:rPr/>
            </w:pPr>
            <w:r>
              <w:rPr/>
              <w:t>​</w:t>
            </w:r>
          </w:p>
        </w:tc>
        <w:tc>
          <w:tcPr>
            <w:tcW w:w="91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(691)</w:t>
            </w:r>
          </w:p>
        </w:tc>
        <w:tc>
          <w:tcPr>
            <w:tcW w:w="346" w:type="dxa"/>
            <w:tcBorders/>
            <w:shd w:fill="CCEEFF" w:val="clear"/>
            <w:vAlign w:val="center"/>
          </w:tcPr>
          <w:p>
            <w:pPr>
              <w:pStyle w:val="TableContents"/>
              <w:bidi w:val="0"/>
              <w:spacing w:before="0" w:after="1"/>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w:t>
            </w:r>
          </w:p>
        </w:tc>
        <w:tc>
          <w:tcPr>
            <w:tcW w:w="385" w:type="dxa"/>
            <w:tcBorders/>
            <w:shd w:fill="CCEEFF" w:val="clear"/>
            <w:vAlign w:val="center"/>
          </w:tcPr>
          <w:p>
            <w:pPr>
              <w:pStyle w:val="TableContents"/>
              <w:bidi w:val="0"/>
              <w:spacing w:before="0" w:after="1"/>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(1,554)</w:t>
            </w:r>
          </w:p>
        </w:tc>
      </w:tr>
      <w:tr>
        <w:trPr/>
        <w:tc>
          <w:tcPr>
            <w:tcW w:w="373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research and development expenses</w:t>
            </w:r>
          </w:p>
        </w:tc>
        <w:tc>
          <w:tcPr>
            <w:tcW w:w="346" w:type="dxa"/>
            <w:tcBorders/>
            <w:vAlign w:val="center"/>
          </w:tcPr>
          <w:p>
            <w:pPr>
              <w:pStyle w:val="TableContents"/>
              <w:bidi w:val="0"/>
              <w:spacing w:before="0" w:after="1"/>
              <w:ind w:left="0" w:right="0" w:hanging="0"/>
              <w:jc w:val="left"/>
              <w:rPr/>
            </w:pPr>
            <w:r>
              <w:rPr/>
              <w:t> </w:t>
            </w:r>
          </w:p>
        </w:tc>
        <w:tc>
          <w:tcPr>
            <w:tcW w:w="769"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9,543</w:t>
            </w:r>
          </w:p>
        </w:tc>
        <w:tc>
          <w:tcPr>
            <w:tcW w:w="466" w:type="dxa"/>
            <w:tcBorders/>
            <w:vAlign w:val="center"/>
          </w:tcPr>
          <w:p>
            <w:pPr>
              <w:pStyle w:val="TableContents"/>
              <w:bidi w:val="0"/>
              <w:spacing w:before="0" w:after="1"/>
              <w:ind w:left="0" w:right="0" w:hanging="0"/>
              <w:jc w:val="left"/>
              <w:rPr/>
            </w:pPr>
            <w:r>
              <w:rPr/>
              <w:t>​</w:t>
            </w:r>
          </w:p>
        </w:tc>
        <w:tc>
          <w:tcPr>
            <w:tcW w:w="91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10,059</w:t>
            </w:r>
          </w:p>
        </w:tc>
        <w:tc>
          <w:tcPr>
            <w:tcW w:w="346" w:type="dxa"/>
            <w:tcBorders/>
            <w:vAlign w:val="center"/>
          </w:tcPr>
          <w:p>
            <w:pPr>
              <w:pStyle w:val="TableContents"/>
              <w:bidi w:val="0"/>
              <w:spacing w:before="0" w:after="1"/>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18,347</w:t>
            </w:r>
          </w:p>
        </w:tc>
        <w:tc>
          <w:tcPr>
            <w:tcW w:w="385" w:type="dxa"/>
            <w:tcBorders/>
            <w:vAlign w:val="center"/>
          </w:tcPr>
          <w:p>
            <w:pPr>
              <w:pStyle w:val="TableContents"/>
              <w:bidi w:val="0"/>
              <w:spacing w:before="0" w:after="1"/>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19,048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Before capitalization of €154,000  for the six months ended June 30, 2026 and €1.6 million for the six months ended June 30, 2025, research and development expenses decreased by €2.1 million or 10.2 %, from €20.6 million for the six months ended June 30, 2025, to €18.5 million for the six months ended June 30, 2026. The decrease is mainly due to a decrease in clinical study expenses and in R&amp;D activities. Additionally, following FDA approval in August 2025 and the finalization of one of the clinical studies in April 2026, the amortization of the related intangible assets commenced leading to an increase in depreciation and amortization expense.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decreased by €1.2 million or 11.2%, from €10.8 million before capitalization of €0.7 million for the three months ended June 30, 2025, to €9.5 million for the three months ended June 30, 2026, due to a decrease in clinical study expenses and in R&amp;D activities.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bookmarkStart w:id="1642" w:name="Tc_LFRuPvpiqE2x6ePi3V-tRg_9_0"/>
      <w:bookmarkStart w:id="1643" w:name="Tc_1Kbf66WWAEWnh4VA9V8UDA_8_6"/>
      <w:bookmarkStart w:id="1644" w:name="Tc_GgQmDIq7W0abFNX5BMWdPg_8_4"/>
      <w:bookmarkStart w:id="1645" w:name="Tc_2JQC3kJztk6hqOzHTJJSqg_8_2"/>
      <w:bookmarkStart w:id="1646" w:name="Tc_Qijpt8zjkUqF_tnQhZ8Unw_8_0"/>
      <w:bookmarkStart w:id="1647" w:name="Tc_8G_4dN4YFkCv8FgSOnT8wg_7_0"/>
      <w:bookmarkStart w:id="1648" w:name="Tc_jS3dDE8GR0CdrTTcnQGpSw_6_0"/>
      <w:bookmarkStart w:id="1649" w:name="Tc_RDL1s7Fz5E2ZaL7d2QNCkQ_5_0"/>
      <w:bookmarkStart w:id="1650" w:name="Tc_f1Av294vRkaPX01aom7ajw_4_0"/>
      <w:bookmarkStart w:id="1651" w:name="Tc_OoQMwbQaP0ePcMrVq7hH4Q_3_8"/>
      <w:bookmarkStart w:id="1652" w:name="Tc_jpA0qfVCTE-Lc0zU2nhIwQ_3_6"/>
      <w:bookmarkStart w:id="1653" w:name="Tc_u8aAaslV5EufepYOyKwd1w_3_4"/>
      <w:bookmarkStart w:id="1654" w:name="Tc_flj_anHkKEOn1tWz1bxqJA_3_2"/>
      <w:bookmarkStart w:id="1655" w:name="Tc_fGREzuw-s0G4yjVdEp-Z4A_3_0"/>
      <w:bookmarkStart w:id="1656" w:name="Tc_sT8EJ1X2SkWsxUz5IdIftg_2_6"/>
      <w:bookmarkStart w:id="1657" w:name="Tc_nboFlglLPUKkfgkIgXY7aA_2_2"/>
      <w:bookmarkStart w:id="1658" w:name="Tc_ACROFkqkwki0nxLlf7692A_1_6"/>
      <w:bookmarkStart w:id="1659" w:name="Tc_5inECIvLckWLylmZAf6r5Q_1_2"/>
      <w:bookmarkStart w:id="1660" w:name="Tc_VV9phfmgYUqJLKJm_c5oNg_14_0"/>
      <w:bookmarkStart w:id="1661" w:name="Tc_xJV3bXgOmUKmAlWTAIS0kA_13_0"/>
      <w:bookmarkStart w:id="1662" w:name="Tc_O1WDj9Kc50K_sjpL109LvQ_12_8"/>
      <w:bookmarkStart w:id="1663" w:name="Tc_K5--LSazN0-m31twK6F8yA_12_4"/>
      <w:bookmarkStart w:id="1664" w:name="Tc_GccbsfAC5EG2GCSm8jZFiQ_12_0"/>
      <w:bookmarkStart w:id="1665" w:name="Tc_hy2zn7BsjkiUK7aoV2DVVw_11_0"/>
      <w:bookmarkStart w:id="1666" w:name="Tc_dxKl6dZ2iEit2elEQT15UA_10_0"/>
      <w:bookmarkStart w:id="1667" w:name="Tc_ueyQaiGdxkSEzQp4QHcrMw_9_0"/>
      <w:bookmarkStart w:id="1668" w:name="Tc_M13suXKt7Eu5P1Zl19UzQQ_8_0"/>
      <w:bookmarkStart w:id="1669" w:name="Tc_YQWDXz0aAk23ZT0Qt2EhHA_7_0"/>
      <w:bookmarkStart w:id="1670" w:name="Tc_yjuIk3bRuUCoa9Avnbgwig_6_0"/>
      <w:bookmarkStart w:id="1671" w:name="Tc_gOHfkc6K3U-49Sk9nscH_w_5_0"/>
      <w:bookmarkStart w:id="1672" w:name="Tc_PoPvN44YpkWZF8D2DA8D9g_4_0"/>
      <w:bookmarkStart w:id="1673" w:name="Tc_h0Segkt_UEeiIfVjETFccg_3_8"/>
      <w:bookmarkStart w:id="1674" w:name="Tc_oC76Do8Kq0yreNw_JRBSYA_3_6"/>
      <w:bookmarkStart w:id="1675" w:name="Tc__XT1Ih8LF0aSexBhyWedPA_3_4"/>
      <w:bookmarkStart w:id="1676" w:name="Tc_AYGrCiry1Um_piO3YvvEBQ_3_2"/>
      <w:bookmarkStart w:id="1677" w:name="Tc_IU64B2XOG0W8LinItOWMQg_3_0"/>
      <w:bookmarkStart w:id="1678" w:name="Tc_naYPqhQZmkmwgj0ocEG4_w_2_6"/>
      <w:bookmarkStart w:id="1679" w:name="Tc_sahU1KyHGEieh7qSXXVuuQ_2_2"/>
      <w:bookmarkStart w:id="1680" w:name="Tc_Sd1szZzwgkWt4Mqv9ZucRA_1_6"/>
      <w:bookmarkStart w:id="1681" w:name="Tc_FjjDQFnqa0Wo7-b3Vy1Itw_1_2"/>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r>
        <w:rPr>
          <w:rFonts w:ascii="Times New Roman;Times;serif" w:hAnsi="Times New Roman;Times;serif"/>
          <w:b/>
          <w:i/>
          <w:sz w:val="20"/>
        </w:rPr>
        <w:t>Selling, General and Administrative expenses</w:t>
      </w:r>
    </w:p>
    <w:p>
      <w:pPr>
        <w:pStyle w:val="TextBody"/>
        <w:bidi w:val="0"/>
        <w:spacing w:before="0" w:after="0"/>
        <w:ind w:left="0" w:right="0" w:hanging="0"/>
        <w:jc w:val="left"/>
        <w:rPr/>
      </w:pPr>
      <w:r>
        <w:rPr/>
        <w:t>​</w:t>
      </w:r>
    </w:p>
    <w:tbl>
      <w:tblPr>
        <w:tblW w:w="9199" w:type="dxa"/>
        <w:jc w:val="left"/>
        <w:tblInd w:w="0" w:type="dxa"/>
        <w:tblLayout w:type="fixed"/>
        <w:tblCellMar>
          <w:top w:w="0" w:type="dxa"/>
          <w:left w:w="0" w:type="dxa"/>
          <w:bottom w:w="0" w:type="dxa"/>
          <w:right w:w="0" w:type="dxa"/>
        </w:tblCellMar>
      </w:tblPr>
      <w:tblGrid>
        <w:gridCol w:w="4351"/>
        <w:gridCol w:w="346"/>
        <w:gridCol w:w="854"/>
        <w:gridCol w:w="437"/>
        <w:gridCol w:w="854"/>
        <w:gridCol w:w="346"/>
        <w:gridCol w:w="753"/>
        <w:gridCol w:w="385"/>
        <w:gridCol w:w="873"/>
      </w:tblGrid>
      <w:tr>
        <w:trPr/>
        <w:tc>
          <w:tcPr>
            <w:tcW w:w="4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762885" cy="175260"/>
                      <wp:effectExtent l="0" t="0" r="0" b="0"/>
                      <wp:wrapNone/>
                      <wp:docPr id="394" name="Frame387"/>
                      <a:graphic xmlns:a="http://schemas.openxmlformats.org/drawingml/2006/main">
                        <a:graphicData uri="http://schemas.microsoft.com/office/word/2010/wordprocessingShape">
                          <wps:wsp>
                            <wps:cNvSpPr txBox="1"/>
                            <wps:spPr>
                              <a:xfrm>
                                <a:off x="0" y="0"/>
                                <a:ext cx="2762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219710" cy="175260"/>
                      <wp:effectExtent l="0" t="0" r="0" b="0"/>
                      <wp:wrapNone/>
                      <wp:docPr id="395" name="Frame3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542290" cy="175260"/>
                      <wp:effectExtent l="0" t="0" r="0" b="0"/>
                      <wp:wrapNone/>
                      <wp:docPr id="396" name="Frame389"/>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277495" cy="175260"/>
                      <wp:effectExtent l="0" t="0" r="0" b="0"/>
                      <wp:wrapNone/>
                      <wp:docPr id="397" name="Frame390"/>
                      <a:graphic xmlns:a="http://schemas.openxmlformats.org/drawingml/2006/main">
                        <a:graphicData uri="http://schemas.microsoft.com/office/word/2010/wordprocessingShape">
                          <wps:wsp>
                            <wps:cNvSpPr txBox="1"/>
                            <wps:spPr>
                              <a:xfrm>
                                <a:off x="0" y="0"/>
                                <a:ext cx="277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42290" cy="175260"/>
                      <wp:effectExtent l="0" t="0" r="0" b="0"/>
                      <wp:wrapNone/>
                      <wp:docPr id="398" name="Frame391"/>
                      <a:graphic xmlns:a="http://schemas.openxmlformats.org/drawingml/2006/main">
                        <a:graphicData uri="http://schemas.microsoft.com/office/word/2010/wordprocessingShape">
                          <wps:wsp>
                            <wps:cNvSpPr txBox="1"/>
                            <wps:spPr>
                              <a:xfrm>
                                <a:off x="0" y="0"/>
                                <a:ext cx="542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478155" cy="175260"/>
                      <wp:effectExtent l="0" t="0" r="0" b="0"/>
                      <wp:wrapNone/>
                      <wp:docPr id="400" name="Frame393"/>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44475" cy="175260"/>
                      <wp:effectExtent l="0" t="0" r="0" b="0"/>
                      <wp:wrapNone/>
                      <wp:docPr id="401" name="Frame394"/>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554355" cy="175260"/>
                      <wp:effectExtent l="0" t="0" r="0" b="0"/>
                      <wp:wrapNone/>
                      <wp:docPr id="402" name="Frame395"/>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01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w:t>
            </w:r>
          </w:p>
        </w:tc>
      </w:tr>
      <w:tr>
        <w:trPr/>
        <w:tc>
          <w:tcPr>
            <w:tcW w:w="43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4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201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  ​ ​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7" w:type="dxa"/>
            <w:tcBorders/>
            <w:vAlign w:val="center"/>
          </w:tcPr>
          <w:p>
            <w:pPr>
              <w:pStyle w:val="TableContents"/>
              <w:bidi w:val="0"/>
              <w:spacing w:before="0" w:after="0"/>
              <w:ind w:left="0" w:right="0" w:hanging="0"/>
              <w:jc w:val="left"/>
              <w:rPr/>
            </w:pPr>
            <w:r>
              <w:rPr/>
              <w:t>  ​ ​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5" w:type="dxa"/>
            <w:tcBorders/>
            <w:vAlign w:val="center"/>
          </w:tcPr>
          <w:p>
            <w:pPr>
              <w:pStyle w:val="TableContents"/>
              <w:bidi w:val="0"/>
              <w:spacing w:before="0" w:after="0"/>
              <w:ind w:left="0" w:right="0" w:hanging="0"/>
              <w:jc w:val="left"/>
              <w:rPr/>
            </w:pPr>
            <w:r>
              <w:rPr/>
              <w:t>  ​ ​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Staff costs</w:t>
            </w:r>
          </w:p>
        </w:tc>
        <w:tc>
          <w:tcPr>
            <w:tcW w:w="34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8,942</w:t>
            </w:r>
          </w:p>
        </w:tc>
        <w:tc>
          <w:tcPr>
            <w:tcW w:w="437"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w:t>
            </w:r>
          </w:p>
        </w:tc>
        <w:tc>
          <w:tcPr>
            <w:tcW w:w="346"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17,718</w:t>
            </w:r>
          </w:p>
        </w:tc>
        <w:tc>
          <w:tcPr>
            <w:tcW w:w="385"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13,270</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Consulting and contractors’ fees</w:t>
            </w:r>
          </w:p>
        </w:tc>
        <w:tc>
          <w:tcPr>
            <w:tcW w:w="34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3,816</w:t>
            </w:r>
          </w:p>
        </w:tc>
        <w:tc>
          <w:tcPr>
            <w:tcW w:w="43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2,527</w:t>
            </w:r>
          </w:p>
        </w:tc>
        <w:tc>
          <w:tcPr>
            <w:tcW w:w="34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7,053</w:t>
            </w:r>
          </w:p>
        </w:tc>
        <w:tc>
          <w:tcPr>
            <w:tcW w:w="385"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5,734</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fees</w:t>
            </w:r>
          </w:p>
        </w:tc>
        <w:tc>
          <w:tcPr>
            <w:tcW w:w="34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w:t>
            </w:r>
          </w:p>
        </w:tc>
        <w:tc>
          <w:tcPr>
            <w:tcW w:w="437"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46"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2,540</w:t>
            </w:r>
          </w:p>
        </w:tc>
        <w:tc>
          <w:tcPr>
            <w:tcW w:w="385"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w:t>
            </w:r>
          </w:p>
        </w:tc>
        <w:tc>
          <w:tcPr>
            <w:tcW w:w="34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43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w:t>
            </w:r>
          </w:p>
        </w:tc>
        <w:tc>
          <w:tcPr>
            <w:tcW w:w="34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85"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342</w:t>
            </w:r>
          </w:p>
        </w:tc>
        <w:tc>
          <w:tcPr>
            <w:tcW w:w="437"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46"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w:t>
            </w:r>
          </w:p>
        </w:tc>
        <w:tc>
          <w:tcPr>
            <w:tcW w:w="385"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719</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w:t>
            </w:r>
          </w:p>
        </w:tc>
        <w:tc>
          <w:tcPr>
            <w:tcW w:w="34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w:t>
            </w:r>
          </w:p>
        </w:tc>
        <w:tc>
          <w:tcPr>
            <w:tcW w:w="43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587</w:t>
            </w:r>
          </w:p>
        </w:tc>
        <w:tc>
          <w:tcPr>
            <w:tcW w:w="34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w:t>
            </w:r>
          </w:p>
        </w:tc>
        <w:tc>
          <w:tcPr>
            <w:tcW w:w="385"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1,045</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w:t>
            </w:r>
          </w:p>
        </w:tc>
        <w:tc>
          <w:tcPr>
            <w:tcW w:w="34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814</w:t>
            </w:r>
          </w:p>
        </w:tc>
        <w:tc>
          <w:tcPr>
            <w:tcW w:w="437"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410</w:t>
            </w:r>
          </w:p>
        </w:tc>
        <w:tc>
          <w:tcPr>
            <w:tcW w:w="346"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1,577</w:t>
            </w:r>
          </w:p>
        </w:tc>
        <w:tc>
          <w:tcPr>
            <w:tcW w:w="385"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Insurance fees</w:t>
            </w:r>
          </w:p>
        </w:tc>
        <w:tc>
          <w:tcPr>
            <w:tcW w:w="346" w:type="dxa"/>
            <w:tcBorders/>
            <w:vAlign w:val="center"/>
          </w:tcPr>
          <w:p>
            <w:pPr>
              <w:pStyle w:val="TableContents"/>
              <w:bidi w:val="0"/>
              <w:spacing w:before="0" w:after="0"/>
              <w:ind w:left="0" w:right="0" w:hanging="0"/>
              <w:jc w:val="left"/>
              <w:rPr/>
            </w:pPr>
            <w:r>
              <w:rPr/>
              <w:t> </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w:t>
            </w:r>
          </w:p>
        </w:tc>
        <w:tc>
          <w:tcPr>
            <w:tcW w:w="437" w:type="dxa"/>
            <w:tcBorders/>
            <w:vAlign w:val="center"/>
          </w:tcPr>
          <w:p>
            <w:pPr>
              <w:pStyle w:val="TableContents"/>
              <w:bidi w:val="0"/>
              <w:spacing w:before="0" w:after="0"/>
              <w:ind w:left="0" w:right="0" w:hanging="0"/>
              <w:jc w:val="left"/>
              <w:rPr/>
            </w:pPr>
            <w:r>
              <w:rPr/>
              <w:t>​</w:t>
            </w:r>
          </w:p>
        </w:tc>
        <w:tc>
          <w:tcPr>
            <w:tcW w:w="8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346" w:type="dxa"/>
            <w:tcBorders/>
            <w:vAlign w:val="center"/>
          </w:tcPr>
          <w:p>
            <w:pPr>
              <w:pStyle w:val="TableContents"/>
              <w:bidi w:val="0"/>
              <w:spacing w:before="0" w:after="0"/>
              <w:ind w:left="0" w:right="0" w:hanging="0"/>
              <w:jc w:val="left"/>
              <w:rPr/>
            </w:pPr>
            <w:r>
              <w:rPr/>
              <w:t>​</w:t>
            </w:r>
          </w:p>
        </w:tc>
        <w:tc>
          <w:tcPr>
            <w:tcW w:w="75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w:t>
            </w:r>
          </w:p>
        </w:tc>
        <w:tc>
          <w:tcPr>
            <w:tcW w:w="385" w:type="dxa"/>
            <w:tcBorders/>
            <w:vAlign w:val="center"/>
          </w:tcPr>
          <w:p>
            <w:pPr>
              <w:pStyle w:val="TableContents"/>
              <w:bidi w:val="0"/>
              <w:spacing w:before="0" w:after="0"/>
              <w:ind w:left="0" w:right="0" w:hanging="0"/>
              <w:jc w:val="left"/>
              <w:rPr/>
            </w:pPr>
            <w:r>
              <w:rPr/>
              <w:t> </w:t>
            </w:r>
          </w:p>
        </w:tc>
        <w:tc>
          <w:tcPr>
            <w:tcW w:w="87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Impairment loss on trade receivables</w:t>
            </w:r>
          </w:p>
        </w:tc>
        <w:tc>
          <w:tcPr>
            <w:tcW w:w="346" w:type="dxa"/>
            <w:tcBorders/>
            <w:shd w:fill="CCEEFF" w:val="clear"/>
            <w:vAlign w:val="center"/>
          </w:tcPr>
          <w:p>
            <w:pPr>
              <w:pStyle w:val="TableContents"/>
              <w:bidi w:val="0"/>
              <w:spacing w:before="0" w:after="0"/>
              <w:ind w:left="0" w:right="0" w:hanging="0"/>
              <w:jc w:val="left"/>
              <w:rPr/>
            </w:pPr>
            <w:r>
              <w:rPr/>
              <w:t> </w:t>
            </w:r>
          </w:p>
        </w:tc>
        <w:tc>
          <w:tcPr>
            <w:tcW w:w="85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37" w:type="dxa"/>
            <w:tcBorders/>
            <w:shd w:fill="CCEEFF" w:val="clear"/>
            <w:vAlign w:val="center"/>
          </w:tcPr>
          <w:p>
            <w:pPr>
              <w:pStyle w:val="TableContents"/>
              <w:bidi w:val="0"/>
              <w:spacing w:before="0" w:after="0"/>
              <w:ind w:left="0" w:right="0" w:hanging="0"/>
              <w:jc w:val="left"/>
              <w:rPr/>
            </w:pPr>
            <w:r>
              <w:rPr/>
              <w:t>​</w:t>
            </w:r>
          </w:p>
        </w:tc>
        <w:tc>
          <w:tcPr>
            <w:tcW w:w="854"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85"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pPr>
            <w:r>
              <w:rPr/>
              <w:t>—</w:t>
            </w:r>
          </w:p>
        </w:tc>
      </w:tr>
      <w:tr>
        <w:trPr/>
        <w:tc>
          <w:tcPr>
            <w:tcW w:w="43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0"/>
              <w:ind w:left="0" w:right="0" w:hanging="0"/>
              <w:jc w:val="left"/>
              <w:rPr/>
            </w:pPr>
            <w:r>
              <w:rPr/>
              <w:t> </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437" w:type="dxa"/>
            <w:tcBorders/>
            <w:vAlign w:val="center"/>
          </w:tcPr>
          <w:p>
            <w:pPr>
              <w:pStyle w:val="TableContents"/>
              <w:bidi w:val="0"/>
              <w:spacing w:before="0" w:after="0"/>
              <w:ind w:left="0" w:right="0" w:hanging="0"/>
              <w:jc w:val="left"/>
              <w:rPr/>
            </w:pPr>
            <w:r>
              <w:rPr/>
              <w:t>​</w:t>
            </w:r>
          </w:p>
        </w:tc>
        <w:tc>
          <w:tcPr>
            <w:tcW w:w="85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46" w:type="dxa"/>
            <w:tcBorders/>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85" w:type="dxa"/>
            <w:tcBorders/>
            <w:vAlign w:val="center"/>
          </w:tcPr>
          <w:p>
            <w:pPr>
              <w:pStyle w:val="TableContents"/>
              <w:bidi w:val="0"/>
              <w:spacing w:before="0" w:after="0"/>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w:t>
            </w:r>
          </w:p>
        </w:tc>
      </w:tr>
      <w:tr>
        <w:trPr/>
        <w:tc>
          <w:tcPr>
            <w:tcW w:w="435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15,618</w:t>
            </w:r>
          </w:p>
        </w:tc>
        <w:tc>
          <w:tcPr>
            <w:tcW w:w="437" w:type="dxa"/>
            <w:tcBorders/>
            <w:shd w:fill="CCEEFF" w:val="clear"/>
            <w:vAlign w:val="center"/>
          </w:tcPr>
          <w:p>
            <w:pPr>
              <w:pStyle w:val="TableContents"/>
              <w:bidi w:val="0"/>
              <w:spacing w:before="0" w:after="0"/>
              <w:ind w:left="0" w:right="0" w:hanging="0"/>
              <w:jc w:val="left"/>
              <w:rPr/>
            </w:pPr>
            <w:r>
              <w:rPr/>
              <w:t>​</w:t>
            </w:r>
          </w:p>
        </w:tc>
        <w:tc>
          <w:tcPr>
            <w:tcW w:w="8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10,672</w:t>
            </w:r>
          </w:p>
        </w:tc>
        <w:tc>
          <w:tcPr>
            <w:tcW w:w="346" w:type="dxa"/>
            <w:tcBorders/>
            <w:shd w:fill="CCEEFF" w:val="clear"/>
            <w:vAlign w:val="center"/>
          </w:tcPr>
          <w:p>
            <w:pPr>
              <w:pStyle w:val="TableContents"/>
              <w:bidi w:val="0"/>
              <w:spacing w:before="0" w:after="0"/>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30,992</w:t>
            </w:r>
          </w:p>
        </w:tc>
        <w:tc>
          <w:tcPr>
            <w:tcW w:w="385" w:type="dxa"/>
            <w:tcBorders/>
            <w:shd w:fill="CCEEFF" w:val="clear"/>
            <w:vAlign w:val="center"/>
          </w:tcPr>
          <w:p>
            <w:pPr>
              <w:pStyle w:val="TableContents"/>
              <w:bidi w:val="0"/>
              <w:spacing w:before="0" w:after="0"/>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23,063</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increased by €7.9 million or 34.4 % from €23.1 million for the six months ended June 30, 2025 to €31.0 million for the six months ended June 30, 2026, mainly due to an increase of costs to support U.S. commercialization of the Genio system following FDA approval in August 2025 and an increase in legal costs related to IP litigation. Consulting and contractor fees for the six months ended June 30, 2026, also includes a provision recognized under IAS 37 for the estimated future costs related to the replenishment of certain consumable components, reflecting a constructive obligation arising from business practices.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Selling, general and administrative expenses increased by €4.9 million or 46.3 % from €10.7 million for the three months ended June 30, 2025 to €15.6 million for the three months ended June 30, 2026, mainly due to an increase of costs to support U.S. commercialization of the Genio system following FDA approval in August 2025 and an increase in legal costs related to IP litigation.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Other operating income / ( expenses)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had other operating income of €29,000 for the six months ended June 30, 2026 compared to other operating income of €115,000 for the six months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had other operating expenses of €11,000 for the three months ended June 30, 2026 compared to other operating income of €31,000 for the three months ended June 30, 2025.</w:t>
      </w:r>
    </w:p>
    <w:p>
      <w:pPr>
        <w:pStyle w:val="TextBody"/>
        <w:bidi w:val="0"/>
        <w:spacing w:before="0" w:after="0"/>
        <w:ind w:left="0" w:right="0" w:hanging="0"/>
        <w:jc w:val="left"/>
        <w:rPr/>
      </w:pPr>
      <w:r>
        <w:rPr/>
        <w:t>​</w:t>
      </w:r>
    </w:p>
    <w:tbl>
      <w:tblPr>
        <w:tblW w:w="8435" w:type="dxa"/>
        <w:jc w:val="left"/>
        <w:tblInd w:w="0" w:type="dxa"/>
        <w:tblLayout w:type="fixed"/>
        <w:tblCellMar>
          <w:top w:w="0" w:type="dxa"/>
          <w:left w:w="0" w:type="dxa"/>
          <w:bottom w:w="0" w:type="dxa"/>
          <w:right w:w="0" w:type="dxa"/>
        </w:tblCellMar>
      </w:tblPr>
      <w:tblGrid>
        <w:gridCol w:w="3676"/>
        <w:gridCol w:w="346"/>
        <w:gridCol w:w="766"/>
        <w:gridCol w:w="568"/>
        <w:gridCol w:w="767"/>
        <w:gridCol w:w="346"/>
        <w:gridCol w:w="684"/>
        <w:gridCol w:w="508"/>
        <w:gridCol w:w="774"/>
      </w:tblGrid>
      <w:tr>
        <w:trPr/>
        <w:tc>
          <w:tcPr>
            <w:tcW w:w="3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334260" cy="175260"/>
                      <wp:effectExtent l="0" t="0" r="0" b="0"/>
                      <wp:wrapNone/>
                      <wp:docPr id="403" name="Frame396"/>
                      <a:graphic xmlns:a="http://schemas.openxmlformats.org/drawingml/2006/main">
                        <a:graphicData uri="http://schemas.microsoft.com/office/word/2010/wordprocessingShape">
                          <wps:wsp>
                            <wps:cNvSpPr txBox="1"/>
                            <wps:spPr>
                              <a:xfrm>
                                <a:off x="0" y="0"/>
                                <a:ext cx="2334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219710" cy="175260"/>
                      <wp:effectExtent l="0" t="0" r="0" b="0"/>
                      <wp:wrapNone/>
                      <wp:docPr id="404" name="Frame3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486410" cy="175260"/>
                      <wp:effectExtent l="0" t="0" r="0" b="0"/>
                      <wp:wrapNone/>
                      <wp:docPr id="405" name="Frame398"/>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360680" cy="175260"/>
                      <wp:effectExtent l="0" t="0" r="0" b="0"/>
                      <wp:wrapNone/>
                      <wp:docPr id="406" name="Frame399"/>
                      <a:graphic xmlns:a="http://schemas.openxmlformats.org/drawingml/2006/main">
                        <a:graphicData uri="http://schemas.microsoft.com/office/word/2010/wordprocessingShape">
                          <wps:wsp>
                            <wps:cNvSpPr txBox="1"/>
                            <wps:spPr>
                              <a:xfrm>
                                <a:off x="0" y="0"/>
                                <a:ext cx="3606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487045" cy="175260"/>
                      <wp:effectExtent l="0" t="0" r="0" b="0"/>
                      <wp:wrapNone/>
                      <wp:docPr id="407" name="Frame400"/>
                      <a:graphic xmlns:a="http://schemas.openxmlformats.org/drawingml/2006/main">
                        <a:graphicData uri="http://schemas.microsoft.com/office/word/2010/wordprocessingShape">
                          <wps:wsp>
                            <wps:cNvSpPr txBox="1"/>
                            <wps:spPr>
                              <a:xfrm>
                                <a:off x="0" y="0"/>
                                <a:ext cx="487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19710" cy="175260"/>
                      <wp:effectExtent l="0" t="0" r="0" b="0"/>
                      <wp:wrapNone/>
                      <wp:docPr id="408" name="Frame4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434340" cy="175260"/>
                      <wp:effectExtent l="0" t="0" r="0" b="0"/>
                      <wp:wrapNone/>
                      <wp:docPr id="409" name="Frame402"/>
                      <a:graphic xmlns:a="http://schemas.openxmlformats.org/drawingml/2006/main">
                        <a:graphicData uri="http://schemas.microsoft.com/office/word/2010/wordprocessingShape">
                          <wps:wsp>
                            <wps:cNvSpPr txBox="1"/>
                            <wps:spPr>
                              <a:xfrm>
                                <a:off x="0" y="0"/>
                                <a:ext cx="4343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322580" cy="175260"/>
                      <wp:effectExtent l="0" t="0" r="0" b="0"/>
                      <wp:wrapNone/>
                      <wp:docPr id="410" name="Frame403"/>
                      <a:graphic xmlns:a="http://schemas.openxmlformats.org/drawingml/2006/main">
                        <a:graphicData uri="http://schemas.microsoft.com/office/word/2010/wordprocessingShape">
                          <wps:wsp>
                            <wps:cNvSpPr txBox="1"/>
                            <wps:spPr>
                              <a:xfrm>
                                <a:off x="0" y="0"/>
                                <a:ext cx="322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91490" cy="175260"/>
                      <wp:effectExtent l="0" t="0" r="0" b="0"/>
                      <wp:wrapNone/>
                      <wp:docPr id="411" name="Frame404"/>
                      <a:graphic xmlns:a="http://schemas.openxmlformats.org/drawingml/2006/main">
                        <a:graphicData uri="http://schemas.microsoft.com/office/word/2010/wordprocessingShape">
                          <wps:wsp>
                            <wps:cNvSpPr txBox="1"/>
                            <wps:spPr>
                              <a:xfrm>
                                <a:off x="0" y="0"/>
                                <a:ext cx="4914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0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46" w:type="dxa"/>
            <w:tcBorders/>
            <w:vAlign w:val="center"/>
          </w:tcPr>
          <w:p>
            <w:pPr>
              <w:pStyle w:val="TableContents"/>
              <w:bidi w:val="0"/>
              <w:spacing w:before="0" w:after="0"/>
              <w:ind w:left="0" w:right="0" w:hanging="0"/>
              <w:jc w:val="center"/>
              <w:rPr/>
            </w:pPr>
            <w:r>
              <w:rPr/>
              <w:t>​</w:t>
            </w:r>
          </w:p>
        </w:tc>
        <w:tc>
          <w:tcPr>
            <w:tcW w:w="1966"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r>
      <w:tr>
        <w:trPr/>
        <w:tc>
          <w:tcPr>
            <w:tcW w:w="36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0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center"/>
              <w:rPr/>
            </w:pPr>
            <w:r>
              <w:rPr/>
              <w:t>​</w:t>
            </w:r>
          </w:p>
        </w:tc>
        <w:tc>
          <w:tcPr>
            <w:tcW w:w="1966"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68" w:type="dxa"/>
            <w:tcBorders/>
            <w:vAlign w:val="center"/>
          </w:tcPr>
          <w:p>
            <w:pPr>
              <w:pStyle w:val="TableContents"/>
              <w:bidi w:val="0"/>
              <w:spacing w:before="0" w:after="0"/>
              <w:ind w:left="0" w:right="0" w:hanging="0"/>
              <w:jc w:val="center"/>
              <w:rPr/>
            </w:pPr>
            <w:r>
              <w:rPr/>
              <w:t>  ​ ​ ​</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08" w:type="dxa"/>
            <w:tcBorders/>
            <w:vAlign w:val="center"/>
          </w:tcPr>
          <w:p>
            <w:pPr>
              <w:pStyle w:val="TableContents"/>
              <w:bidi w:val="0"/>
              <w:spacing w:before="0" w:after="0"/>
              <w:ind w:left="0" w:right="0" w:hanging="0"/>
              <w:jc w:val="center"/>
              <w:rPr/>
            </w:pPr>
            <w:r>
              <w:rPr/>
              <w:t>  ​ ​ ​</w:t>
            </w:r>
          </w:p>
        </w:tc>
        <w:tc>
          <w:tcPr>
            <w:tcW w:w="77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Recoverable cash advances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lef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  ​</w:t>
            </w:r>
          </w:p>
        </w:tc>
        <w:tc>
          <w:tcPr>
            <w:tcW w:w="508" w:type="dxa"/>
            <w:tcBorders/>
            <w:shd w:fill="CCEEFF" w:val="clear"/>
            <w:vAlign w:val="center"/>
          </w:tcPr>
          <w:p>
            <w:pPr>
              <w:pStyle w:val="TableContents"/>
              <w:bidi w:val="0"/>
              <w:spacing w:before="0" w:after="0"/>
              <w:ind w:left="0" w:right="0" w:hanging="0"/>
              <w:jc w:val="left"/>
              <w:rPr/>
            </w:pPr>
            <w:r>
              <w:rPr/>
              <w:t> </w:t>
            </w:r>
          </w:p>
        </w:tc>
        <w:tc>
          <w:tcPr>
            <w:tcW w:w="774" w:type="dxa"/>
            <w:tcBorders/>
            <w:shd w:fill="CCEEFF" w:val="clear"/>
            <w:vAlign w:val="center"/>
          </w:tcPr>
          <w:p>
            <w:pPr>
              <w:pStyle w:val="TableContents"/>
              <w:bidi w:val="0"/>
              <w:spacing w:before="0" w:after="0"/>
              <w:ind w:left="0" w:right="0" w:hanging="0"/>
              <w:jc w:val="right"/>
              <w:rPr/>
            </w:pPr>
            <w:r>
              <w:rPr/>
              <w:t>  ​</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measurement and re-measurement</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56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w:t>
            </w:r>
          </w:p>
        </w:tc>
        <w:tc>
          <w:tcPr>
            <w:tcW w:w="508" w:type="dxa"/>
            <w:tcBorders/>
            <w:vAlign w:val="center"/>
          </w:tcPr>
          <w:p>
            <w:pPr>
              <w:pStyle w:val="TableContents"/>
              <w:bidi w:val="0"/>
              <w:spacing w:before="0" w:after="0"/>
              <w:ind w:left="0" w:right="0" w:hanging="0"/>
              <w:jc w:val="left"/>
              <w:rPr/>
            </w:pPr>
            <w:r>
              <w:rPr/>
              <w:t> </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 incentives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568" w:type="dxa"/>
            <w:tcBorders/>
            <w:shd w:fill="CCEEFF" w:val="clear"/>
            <w:vAlign w:val="center"/>
          </w:tcPr>
          <w:p>
            <w:pPr>
              <w:pStyle w:val="TableContents"/>
              <w:bidi w:val="0"/>
              <w:spacing w:before="0" w:after="0"/>
              <w:ind w:left="0" w:right="0" w:hanging="0"/>
              <w:jc w:val="left"/>
              <w:rPr/>
            </w:pPr>
            <w:r>
              <w:rPr/>
              <w:t>​</w:t>
            </w:r>
          </w:p>
        </w:tc>
        <w:tc>
          <w:tcPr>
            <w:tcW w:w="7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508" w:type="dxa"/>
            <w:tcBorders/>
            <w:shd w:fill="CCEEFF" w:val="clear"/>
            <w:vAlign w:val="center"/>
          </w:tcPr>
          <w:p>
            <w:pPr>
              <w:pStyle w:val="TableContents"/>
              <w:bidi w:val="0"/>
              <w:spacing w:before="0" w:after="0"/>
              <w:ind w:left="0" w:right="0" w:hanging="0"/>
              <w:jc w:val="left"/>
              <w:rPr/>
            </w:pPr>
            <w:r>
              <w:rPr/>
              <w:t> </w:t>
            </w:r>
          </w:p>
        </w:tc>
        <w:tc>
          <w:tcPr>
            <w:tcW w:w="77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Capitalization of R&amp;D incentive</w:t>
            </w:r>
          </w:p>
        </w:tc>
        <w:tc>
          <w:tcPr>
            <w:tcW w:w="34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568" w:type="dxa"/>
            <w:tcBorders/>
            <w:vAlign w:val="center"/>
          </w:tcPr>
          <w:p>
            <w:pPr>
              <w:pStyle w:val="TableContents"/>
              <w:bidi w:val="0"/>
              <w:spacing w:before="0" w:after="0"/>
              <w:ind w:left="0" w:right="0" w:hanging="0"/>
              <w:jc w:val="left"/>
              <w:rPr/>
            </w:pPr>
            <w:r>
              <w:rPr/>
              <w:t>​</w:t>
            </w:r>
          </w:p>
        </w:tc>
        <w:tc>
          <w:tcPr>
            <w:tcW w:w="7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vAlign w:val="center"/>
          </w:tcPr>
          <w:p>
            <w:pPr>
              <w:pStyle w:val="TableContents"/>
              <w:bidi w:val="0"/>
              <w:spacing w:before="0" w:after="0"/>
              <w:ind w:left="0" w:right="0" w:hanging="0"/>
              <w:jc w:val="left"/>
              <w:rPr/>
            </w:pPr>
            <w:r>
              <w:rPr/>
              <w:t>​</w:t>
            </w:r>
          </w:p>
        </w:tc>
        <w:tc>
          <w:tcPr>
            <w:tcW w:w="68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508" w:type="dxa"/>
            <w:tcBorders/>
            <w:vAlign w:val="center"/>
          </w:tcPr>
          <w:p>
            <w:pPr>
              <w:pStyle w:val="TableContents"/>
              <w:bidi w:val="0"/>
              <w:spacing w:before="0" w:after="0"/>
              <w:ind w:left="0" w:right="0" w:hanging="0"/>
              <w:jc w:val="left"/>
              <w:rPr/>
            </w:pPr>
            <w:r>
              <w:rPr/>
              <w:t> </w:t>
            </w:r>
          </w:p>
        </w:tc>
        <w:tc>
          <w:tcPr>
            <w:tcW w:w="77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r>
      <w:tr>
        <w:trPr/>
        <w:tc>
          <w:tcPr>
            <w:tcW w:w="36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68" w:type="dxa"/>
            <w:tcBorders/>
            <w:shd w:fill="CCEEFF" w:val="clear"/>
            <w:vAlign w:val="center"/>
          </w:tcPr>
          <w:p>
            <w:pPr>
              <w:pStyle w:val="TableContents"/>
              <w:bidi w:val="0"/>
              <w:spacing w:before="0" w:after="0"/>
              <w:ind w:left="0" w:right="0" w:hanging="0"/>
              <w:jc w:val="left"/>
              <w:rPr/>
            </w:pPr>
            <w:r>
              <w:rPr/>
              <w:t>​</w:t>
            </w:r>
          </w:p>
        </w:tc>
        <w:tc>
          <w:tcPr>
            <w:tcW w:w="7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508" w:type="dxa"/>
            <w:tcBorders/>
            <w:shd w:fill="CCEEFF" w:val="clear"/>
            <w:vAlign w:val="center"/>
          </w:tcPr>
          <w:p>
            <w:pPr>
              <w:pStyle w:val="TableContents"/>
              <w:bidi w:val="0"/>
              <w:spacing w:before="0" w:after="0"/>
              <w:ind w:left="0" w:right="0" w:hanging="0"/>
              <w:jc w:val="left"/>
              <w:rPr/>
            </w:pPr>
            <w:r>
              <w:rPr/>
              <w:t> </w:t>
            </w:r>
          </w:p>
        </w:tc>
        <w:tc>
          <w:tcPr>
            <w:tcW w:w="7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Operating Income/(Expenses)</w:t>
            </w:r>
          </w:p>
        </w:tc>
        <w:tc>
          <w:tcPr>
            <w:tcW w:w="346" w:type="dxa"/>
            <w:tcBorders/>
            <w:vAlign w:val="center"/>
          </w:tcPr>
          <w:p>
            <w:pPr>
              <w:pStyle w:val="TableContents"/>
              <w:bidi w:val="0"/>
              <w:spacing w:before="0" w:after="0"/>
              <w:ind w:left="0" w:right="0" w:hanging="0"/>
              <w:jc w:val="left"/>
              <w:rPr/>
            </w:pPr>
            <w:r>
              <w:rPr/>
              <w:t> </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w:t>
            </w:r>
          </w:p>
        </w:tc>
        <w:tc>
          <w:tcPr>
            <w:tcW w:w="568" w:type="dxa"/>
            <w:tcBorders/>
            <w:vAlign w:val="center"/>
          </w:tcPr>
          <w:p>
            <w:pPr>
              <w:pStyle w:val="TableContents"/>
              <w:bidi w:val="0"/>
              <w:spacing w:before="0" w:after="0"/>
              <w:ind w:left="0" w:right="0" w:hanging="0"/>
              <w:jc w:val="left"/>
              <w:rPr/>
            </w:pPr>
            <w:r>
              <w:rPr/>
              <w:t>​</w:t>
            </w:r>
          </w:p>
        </w:tc>
        <w:tc>
          <w:tcPr>
            <w:tcW w:w="7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w:t>
            </w:r>
          </w:p>
        </w:tc>
        <w:tc>
          <w:tcPr>
            <w:tcW w:w="346" w:type="dxa"/>
            <w:tcBorders/>
            <w:vAlign w:val="center"/>
          </w:tcPr>
          <w:p>
            <w:pPr>
              <w:pStyle w:val="TableContents"/>
              <w:bidi w:val="0"/>
              <w:spacing w:before="0" w:after="0"/>
              <w:ind w:left="0" w:right="0" w:hanging="0"/>
              <w:jc w:val="left"/>
              <w:rPr/>
            </w:pPr>
            <w:r>
              <w:rPr/>
              <w:t>​</w:t>
            </w:r>
          </w:p>
        </w:tc>
        <w:tc>
          <w:tcPr>
            <w:tcW w:w="6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w:t>
            </w:r>
          </w:p>
        </w:tc>
        <w:tc>
          <w:tcPr>
            <w:tcW w:w="508" w:type="dxa"/>
            <w:tcBorders/>
            <w:vAlign w:val="center"/>
          </w:tcPr>
          <w:p>
            <w:pPr>
              <w:pStyle w:val="TableContents"/>
              <w:bidi w:val="0"/>
              <w:spacing w:before="0" w:after="0"/>
              <w:ind w:left="0" w:right="0" w:hanging="0"/>
              <w:jc w:val="left"/>
              <w:rPr/>
            </w:pPr>
            <w:r>
              <w:rPr/>
              <w:t> </w:t>
            </w:r>
          </w:p>
        </w:tc>
        <w:tc>
          <w:tcPr>
            <w:tcW w:w="774"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115</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other operating income for the six month period ended June 30, 2026, contains the R&amp;D incentive in Australia and as from 2023 the tax incentive in Belgium as well. The incentives to be received relate to development expenses incurred by the subsidiary in Australia and Belgium. For the six month period ended June 30, 2026, €11,000 (2025: €56,000) has been deducted from the expenses capitalized in relation to this R&amp;D incentive.</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682" w:name="Tc_YhMiln4mEES5WT0pmfIkSw_6_0"/>
      <w:bookmarkStart w:id="1683" w:name="Tc_IaKu-s5N4UWcSFxO6LWfgA_5_0"/>
      <w:bookmarkStart w:id="1684" w:name="Tc_uzsslVChi0KBNqoHlZiXcA_4_0"/>
      <w:bookmarkStart w:id="1685" w:name="Tc_1u4K1f-TI0awyD4w9FaFbA_3_8"/>
      <w:bookmarkStart w:id="1686" w:name="Tc_oblBGdVkvUuEflcn7a-VYw_3_6"/>
      <w:bookmarkStart w:id="1687" w:name="Tc_S12TDWjvuEOeb18J8d7plQ_3_4"/>
      <w:bookmarkStart w:id="1688" w:name="Tc_Xx7AF6PY2kG-tmUOTX0Cqg_3_2"/>
      <w:bookmarkStart w:id="1689" w:name="Tc_Sm7suUJSM02LYkNRYE3GVw_3_0"/>
      <w:bookmarkStart w:id="1690" w:name="Tc_K17Jr48gpESsBtcjv1CXpw_2_6"/>
      <w:bookmarkStart w:id="1691" w:name="Tc_Jcxilps_qUWpePUKbk423Q_2_2"/>
      <w:bookmarkStart w:id="1692" w:name="Tc_oyCdOylqvUCUOxBKyrAagg_1_6"/>
      <w:bookmarkStart w:id="1693" w:name="Tc_fTKyRuP4SUOqajm2TnTEjg_1_2"/>
      <w:bookmarkStart w:id="1694" w:name="Tc_69-u5KgY_02oW8NuVcBg7g_9_0"/>
      <w:bookmarkStart w:id="1695" w:name="Tc_d4PAR8KgPUaZQWnZ2YMXNw_8_0"/>
      <w:bookmarkStart w:id="1696" w:name="Tc_A32ERt5_wkGRYTSJdjrTVw_7_0"/>
      <w:bookmarkStart w:id="1697" w:name="Tc_P-N-hq1-3EuVG5CEJjt9oA_6_0"/>
      <w:bookmarkStart w:id="1698" w:name="Tc_zsii0afzM0-W7zJOp29zLg_5_0"/>
      <w:bookmarkStart w:id="1699" w:name="Tc_3OdUUoJFBkii10E48svGXw_4_0"/>
      <w:bookmarkStart w:id="1700" w:name="Tc_ypIm9oytO0205cCSCidlYA_3_8"/>
      <w:bookmarkStart w:id="1701" w:name="Tc_kL8J2oCV1EqOrPrucOvGpg_3_6"/>
      <w:bookmarkStart w:id="1702" w:name="Tc_cgSSHw59TkWu2C7xK9i6RQ_3_4"/>
      <w:bookmarkStart w:id="1703" w:name="Tc_tatQZFAzPkKK60HFhOV4Hw_3_2"/>
      <w:bookmarkStart w:id="1704" w:name="Tc_KcY7tRdljEOb9_qGslKv7w_3_0"/>
      <w:bookmarkStart w:id="1705" w:name="Tc_4nzyQS9AmESlqxkGeUivOQ_2_6"/>
      <w:bookmarkStart w:id="1706" w:name="Tc_JU7OeFSAE0KrXep03ZppDA_2_2"/>
      <w:bookmarkStart w:id="1707" w:name="Tc_6Lek-b9N00K3BJgUXllpHg_1_6"/>
      <w:bookmarkStart w:id="1708" w:name="Tc_UzyyYS-jb0OInHndXOD5FA_1_2"/>
      <w:bookmarkStart w:id="1709" w:name="a23Employeebenefits_36424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r>
        <w:rPr>
          <w:rFonts w:ascii="Times New Roman;Times;serif" w:hAnsi="Times New Roman;Times;serif"/>
          <w:b/>
          <w:i w:val="false"/>
          <w:caps w:val="false"/>
          <w:smallCaps w:val="false"/>
          <w:sz w:val="20"/>
        </w:rPr>
        <w:t>25.</w:t>
      </w:r>
      <w:r>
        <w:rPr>
          <w:rFonts w:ascii="Times New Roman;Times;serif" w:hAnsi="Times New Roman;Times;serif"/>
          <w:b/>
          <w:sz w:val="20"/>
        </w:rPr>
        <w:t>Employee benefits</w:t>
      </w:r>
    </w:p>
    <w:p>
      <w:pPr>
        <w:pStyle w:val="TextBody"/>
        <w:bidi w:val="0"/>
        <w:spacing w:before="0" w:after="0"/>
        <w:ind w:left="0" w:right="0" w:hanging="0"/>
        <w:jc w:val="left"/>
        <w:rPr/>
      </w:pPr>
      <w:r>
        <w:rPr/>
        <w:t>​</w:t>
      </w:r>
    </w:p>
    <w:tbl>
      <w:tblPr>
        <w:tblW w:w="6935" w:type="dxa"/>
        <w:jc w:val="left"/>
        <w:tblInd w:w="0" w:type="dxa"/>
        <w:tblLayout w:type="fixed"/>
        <w:tblCellMar>
          <w:top w:w="0" w:type="dxa"/>
          <w:left w:w="0" w:type="dxa"/>
          <w:bottom w:w="0" w:type="dxa"/>
          <w:right w:w="0" w:type="dxa"/>
        </w:tblCellMar>
      </w:tblPr>
      <w:tblGrid>
        <w:gridCol w:w="2131"/>
        <w:gridCol w:w="346"/>
        <w:gridCol w:w="836"/>
        <w:gridCol w:w="428"/>
        <w:gridCol w:w="837"/>
        <w:gridCol w:w="346"/>
        <w:gridCol w:w="753"/>
        <w:gridCol w:w="385"/>
        <w:gridCol w:w="873"/>
      </w:tblGrid>
      <w:tr>
        <w:trPr/>
        <w:tc>
          <w:tcPr>
            <w:tcW w:w="21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1353185" cy="175260"/>
                      <wp:effectExtent l="0" t="0" r="0" b="0"/>
                      <wp:wrapNone/>
                      <wp:docPr id="412" name="Frame405"/>
                      <a:graphic xmlns:a="http://schemas.openxmlformats.org/drawingml/2006/main">
                        <a:graphicData uri="http://schemas.microsoft.com/office/word/2010/wordprocessingShape">
                          <wps:wsp>
                            <wps:cNvSpPr txBox="1"/>
                            <wps:spPr>
                              <a:xfrm>
                                <a:off x="0" y="0"/>
                                <a:ext cx="1353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19710" cy="175260"/>
                      <wp:effectExtent l="0" t="0" r="0" b="0"/>
                      <wp:wrapNone/>
                      <wp:docPr id="413" name="Frame4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30860" cy="175260"/>
                      <wp:effectExtent l="0" t="0" r="0" b="0"/>
                      <wp:wrapNone/>
                      <wp:docPr id="414" name="Frame407"/>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71780" cy="175260"/>
                      <wp:effectExtent l="0" t="0" r="0" b="0"/>
                      <wp:wrapNone/>
                      <wp:docPr id="415" name="Frame408"/>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531495" cy="175260"/>
                      <wp:effectExtent l="0" t="0" r="0" b="0"/>
                      <wp:wrapNone/>
                      <wp:docPr id="416" name="Frame409"/>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19710" cy="175260"/>
                      <wp:effectExtent l="0" t="0" r="0" b="0"/>
                      <wp:wrapNone/>
                      <wp:docPr id="417" name="Frame4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78155" cy="175260"/>
                      <wp:effectExtent l="0" t="0" r="0" b="0"/>
                      <wp:wrapNone/>
                      <wp:docPr id="418" name="Frame411"/>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44475" cy="175260"/>
                      <wp:effectExtent l="0" t="0" r="0" b="0"/>
                      <wp:wrapNone/>
                      <wp:docPr id="419" name="Frame412"/>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554355" cy="175260"/>
                      <wp:effectExtent l="0" t="0" r="0" b="0"/>
                      <wp:wrapNone/>
                      <wp:docPr id="420" name="Frame413"/>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01"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46" w:type="dxa"/>
            <w:tcBorders/>
            <w:vAlign w:val="center"/>
          </w:tcPr>
          <w:p>
            <w:pPr>
              <w:pStyle w:val="TableContents"/>
              <w:bidi w:val="0"/>
              <w:spacing w:before="0" w:after="1"/>
              <w:ind w:left="0" w:right="0" w:hanging="0"/>
              <w:jc w:val="center"/>
              <w:rPr/>
            </w:pPr>
            <w:r>
              <w:rPr/>
              <w:t>​</w:t>
            </w:r>
          </w:p>
        </w:tc>
        <w:tc>
          <w:tcPr>
            <w:tcW w:w="2011"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w:t>
            </w:r>
          </w:p>
        </w:tc>
      </w:tr>
      <w:tr>
        <w:trPr/>
        <w:tc>
          <w:tcPr>
            <w:tcW w:w="213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0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center"/>
              <w:rPr/>
            </w:pPr>
            <w:r>
              <w:rPr/>
              <w:t>​</w:t>
            </w:r>
          </w:p>
        </w:tc>
        <w:tc>
          <w:tcPr>
            <w:tcW w:w="201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13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1"/>
              <w:ind w:left="0" w:right="0" w:hanging="0"/>
              <w:jc w:val="center"/>
              <w:rPr/>
            </w:pPr>
            <w:r>
              <w:rPr/>
              <w:t>  ​ ​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8" w:type="dxa"/>
            <w:tcBorders/>
            <w:vAlign w:val="center"/>
          </w:tcPr>
          <w:p>
            <w:pPr>
              <w:pStyle w:val="TableContents"/>
              <w:bidi w:val="0"/>
              <w:spacing w:before="0" w:after="1"/>
              <w:ind w:left="0" w:right="0" w:hanging="0"/>
              <w:jc w:val="center"/>
              <w:rPr/>
            </w:pPr>
            <w:r>
              <w:rPr/>
              <w:t>  ​ ​ ​</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5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5" w:type="dxa"/>
            <w:tcBorders/>
            <w:vAlign w:val="center"/>
          </w:tcPr>
          <w:p>
            <w:pPr>
              <w:pStyle w:val="TableContents"/>
              <w:bidi w:val="0"/>
              <w:spacing w:before="0" w:after="1"/>
              <w:ind w:left="0" w:right="0" w:hanging="0"/>
              <w:jc w:val="center"/>
              <w:rPr/>
            </w:pPr>
            <w:r>
              <w:rPr/>
              <w:t>  ​ ​ ​</w:t>
            </w:r>
          </w:p>
        </w:tc>
        <w:tc>
          <w:tcPr>
            <w:tcW w:w="8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Salaries</w:t>
            </w:r>
          </w:p>
        </w:tc>
        <w:tc>
          <w:tcPr>
            <w:tcW w:w="346" w:type="dxa"/>
            <w:tcBorders/>
            <w:shd w:fill="CCEEFF" w:val="clear"/>
            <w:vAlign w:val="center"/>
          </w:tcPr>
          <w:p>
            <w:pPr>
              <w:pStyle w:val="TableContents"/>
              <w:bidi w:val="0"/>
              <w:spacing w:before="0" w:after="1"/>
              <w:ind w:left="0" w:right="0" w:hanging="0"/>
              <w:jc w:val="left"/>
              <w:rPr/>
            </w:pPr>
            <w:r>
              <w:rPr/>
              <w:t> </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9,120</w:t>
            </w:r>
          </w:p>
        </w:tc>
        <w:tc>
          <w:tcPr>
            <w:tcW w:w="428"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8,073</w:t>
            </w:r>
          </w:p>
        </w:tc>
        <w:tc>
          <w:tcPr>
            <w:tcW w:w="34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18,889</w:t>
            </w:r>
          </w:p>
        </w:tc>
        <w:tc>
          <w:tcPr>
            <w:tcW w:w="385" w:type="dxa"/>
            <w:tcBorders/>
            <w:shd w:fill="CCEEFF" w:val="clear"/>
            <w:vAlign w:val="center"/>
          </w:tcPr>
          <w:p>
            <w:pPr>
              <w:pStyle w:val="TableContents"/>
              <w:bidi w:val="0"/>
              <w:spacing w:before="0" w:after="1"/>
              <w:ind w:left="0" w:right="0" w:hanging="0"/>
              <w:jc w:val="left"/>
              <w:rPr/>
            </w:pPr>
            <w:r>
              <w:rPr/>
              <w:t> </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16,418</w:t>
            </w:r>
          </w:p>
        </w:tc>
      </w:tr>
      <w:tr>
        <w:trPr/>
        <w:tc>
          <w:tcPr>
            <w:tcW w:w="21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Social charges</w:t>
            </w:r>
          </w:p>
        </w:tc>
        <w:tc>
          <w:tcPr>
            <w:tcW w:w="346"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792</w:t>
            </w:r>
          </w:p>
        </w:tc>
        <w:tc>
          <w:tcPr>
            <w:tcW w:w="428"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758</w:t>
            </w:r>
          </w:p>
        </w:tc>
        <w:tc>
          <w:tcPr>
            <w:tcW w:w="34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1,550</w:t>
            </w:r>
          </w:p>
        </w:tc>
        <w:tc>
          <w:tcPr>
            <w:tcW w:w="385"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1,619</w:t>
            </w:r>
          </w:p>
        </w:tc>
      </w:tr>
      <w:tr>
        <w:trPr/>
        <w:tc>
          <w:tcPr>
            <w:tcW w:w="21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Pension charges</w:t>
            </w:r>
          </w:p>
        </w:tc>
        <w:tc>
          <w:tcPr>
            <w:tcW w:w="346" w:type="dxa"/>
            <w:tcBorders/>
            <w:shd w:fill="CCEEFF" w:val="clear"/>
            <w:vAlign w:val="center"/>
          </w:tcPr>
          <w:p>
            <w:pPr>
              <w:pStyle w:val="TableContents"/>
              <w:bidi w:val="0"/>
              <w:spacing w:before="0" w:after="1"/>
              <w:ind w:left="0" w:right="0" w:hanging="0"/>
              <w:jc w:val="left"/>
              <w:rPr/>
            </w:pPr>
            <w:r>
              <w:rPr/>
              <w:t>​</w:t>
            </w:r>
          </w:p>
        </w:tc>
        <w:tc>
          <w:tcPr>
            <w:tcW w:w="8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155</w:t>
            </w:r>
          </w:p>
        </w:tc>
        <w:tc>
          <w:tcPr>
            <w:tcW w:w="428" w:type="dxa"/>
            <w:tcBorders/>
            <w:shd w:fill="CCEEFF" w:val="clear"/>
            <w:vAlign w:val="center"/>
          </w:tcPr>
          <w:p>
            <w:pPr>
              <w:pStyle w:val="TableContents"/>
              <w:bidi w:val="0"/>
              <w:spacing w:before="0" w:after="1"/>
              <w:ind w:left="0" w:right="0" w:hanging="0"/>
              <w:jc w:val="left"/>
              <w:rPr/>
            </w:pPr>
            <w:r>
              <w:rPr/>
              <w:t>​</w:t>
            </w:r>
          </w:p>
        </w:tc>
        <w:tc>
          <w:tcPr>
            <w:tcW w:w="8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w:t>
            </w:r>
          </w:p>
        </w:tc>
        <w:tc>
          <w:tcPr>
            <w:tcW w:w="346" w:type="dxa"/>
            <w:tcBorders/>
            <w:shd w:fill="CCEEFF" w:val="clear"/>
            <w:vAlign w:val="center"/>
          </w:tcPr>
          <w:p>
            <w:pPr>
              <w:pStyle w:val="TableContents"/>
              <w:bidi w:val="0"/>
              <w:spacing w:before="0" w:after="1"/>
              <w:ind w:left="0" w:right="0" w:hanging="0"/>
              <w:jc w:val="left"/>
              <w:rPr/>
            </w:pPr>
            <w:r>
              <w:rPr/>
              <w:t>​</w:t>
            </w:r>
          </w:p>
        </w:tc>
        <w:tc>
          <w:tcPr>
            <w:tcW w:w="75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w:t>
            </w:r>
          </w:p>
        </w:tc>
        <w:tc>
          <w:tcPr>
            <w:tcW w:w="385" w:type="dxa"/>
            <w:tcBorders/>
            <w:shd w:fill="CCEEFF" w:val="clear"/>
            <w:vAlign w:val="center"/>
          </w:tcPr>
          <w:p>
            <w:pPr>
              <w:pStyle w:val="TableContents"/>
              <w:bidi w:val="0"/>
              <w:spacing w:before="0" w:after="1"/>
              <w:ind w:left="0" w:right="0" w:hanging="0"/>
              <w:jc w:val="left"/>
              <w:rPr/>
            </w:pPr>
            <w:r>
              <w:rPr/>
              <w:t>​</w:t>
            </w:r>
          </w:p>
        </w:tc>
        <w:tc>
          <w:tcPr>
            <w:tcW w:w="87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21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Share-based payment</w:t>
            </w:r>
          </w:p>
        </w:tc>
        <w:tc>
          <w:tcPr>
            <w:tcW w:w="346" w:type="dxa"/>
            <w:tcBorders/>
            <w:vAlign w:val="center"/>
          </w:tcPr>
          <w:p>
            <w:pPr>
              <w:pStyle w:val="TableContents"/>
              <w:bidi w:val="0"/>
              <w:spacing w:before="0" w:after="1"/>
              <w:ind w:left="0" w:right="0" w:hanging="0"/>
              <w:jc w:val="left"/>
              <w:rPr/>
            </w:pPr>
            <w:r>
              <w:rPr/>
              <w:t> </w:t>
            </w:r>
          </w:p>
        </w:tc>
        <w:tc>
          <w:tcPr>
            <w:tcW w:w="8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1,561</w:t>
            </w:r>
          </w:p>
        </w:tc>
        <w:tc>
          <w:tcPr>
            <w:tcW w:w="428" w:type="dxa"/>
            <w:tcBorders/>
            <w:vAlign w:val="center"/>
          </w:tcPr>
          <w:p>
            <w:pPr>
              <w:pStyle w:val="TableContents"/>
              <w:bidi w:val="0"/>
              <w:spacing w:before="0" w:after="1"/>
              <w:ind w:left="0" w:right="0" w:hanging="0"/>
              <w:jc w:val="left"/>
              <w:rPr/>
            </w:pPr>
            <w:r>
              <w:rPr/>
              <w:t>​</w:t>
            </w:r>
          </w:p>
        </w:tc>
        <w:tc>
          <w:tcPr>
            <w:tcW w:w="8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887</w:t>
            </w:r>
          </w:p>
        </w:tc>
        <w:tc>
          <w:tcPr>
            <w:tcW w:w="346" w:type="dxa"/>
            <w:tcBorders/>
            <w:vAlign w:val="center"/>
          </w:tcPr>
          <w:p>
            <w:pPr>
              <w:pStyle w:val="TableContents"/>
              <w:bidi w:val="0"/>
              <w:spacing w:before="0" w:after="1"/>
              <w:ind w:left="0" w:right="0" w:hanging="0"/>
              <w:jc w:val="left"/>
              <w:rPr/>
            </w:pPr>
            <w:r>
              <w:rPr/>
              <w:t>​</w:t>
            </w:r>
          </w:p>
        </w:tc>
        <w:tc>
          <w:tcPr>
            <w:tcW w:w="75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2,442</w:t>
            </w:r>
          </w:p>
        </w:tc>
        <w:tc>
          <w:tcPr>
            <w:tcW w:w="385" w:type="dxa"/>
            <w:tcBorders/>
            <w:vAlign w:val="center"/>
          </w:tcPr>
          <w:p>
            <w:pPr>
              <w:pStyle w:val="TableContents"/>
              <w:bidi w:val="0"/>
              <w:spacing w:before="0" w:after="1"/>
              <w:ind w:left="0" w:right="0" w:hanging="0"/>
              <w:jc w:val="left"/>
              <w:rPr/>
            </w:pPr>
            <w:r>
              <w:rPr/>
              <w:t> </w:t>
            </w:r>
          </w:p>
        </w:tc>
        <w:tc>
          <w:tcPr>
            <w:tcW w:w="87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2,862</w:t>
            </w:r>
          </w:p>
        </w:tc>
      </w:tr>
      <w:tr>
        <w:trPr/>
        <w:tc>
          <w:tcPr>
            <w:tcW w:w="21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1"/>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364</w:t>
            </w:r>
          </w:p>
        </w:tc>
        <w:tc>
          <w:tcPr>
            <w:tcW w:w="428" w:type="dxa"/>
            <w:tcBorders/>
            <w:shd w:fill="CCEEFF" w:val="clear"/>
            <w:vAlign w:val="center"/>
          </w:tcPr>
          <w:p>
            <w:pPr>
              <w:pStyle w:val="TableContents"/>
              <w:bidi w:val="0"/>
              <w:spacing w:before="0" w:after="1"/>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shd w:fill="CCEEFF" w:val="clear"/>
            <w:vAlign w:val="center"/>
          </w:tcPr>
          <w:p>
            <w:pPr>
              <w:pStyle w:val="TableContents"/>
              <w:bidi w:val="0"/>
              <w:spacing w:before="0" w:after="1"/>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404</w:t>
            </w:r>
          </w:p>
        </w:tc>
        <w:tc>
          <w:tcPr>
            <w:tcW w:w="385" w:type="dxa"/>
            <w:tcBorders/>
            <w:shd w:fill="CCEEFF" w:val="clear"/>
            <w:vAlign w:val="center"/>
          </w:tcPr>
          <w:p>
            <w:pPr>
              <w:pStyle w:val="TableContents"/>
              <w:bidi w:val="0"/>
              <w:spacing w:before="0" w:after="1"/>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352</w:t>
            </w:r>
          </w:p>
        </w:tc>
      </w:tr>
      <w:tr>
        <w:trPr/>
        <w:tc>
          <w:tcPr>
            <w:tcW w:w="2131" w:type="dxa"/>
            <w:tcBorders/>
            <w:vAlign w:val="center"/>
          </w:tcPr>
          <w:p>
            <w:pPr>
              <w:pStyle w:val="TableContents"/>
              <w:pBdr/>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employee benefits</w:t>
            </w:r>
          </w:p>
        </w:tc>
        <w:tc>
          <w:tcPr>
            <w:tcW w:w="346" w:type="dxa"/>
            <w:tcBorders/>
            <w:vAlign w:val="center"/>
          </w:tcPr>
          <w:p>
            <w:pPr>
              <w:pStyle w:val="TableContents"/>
              <w:bidi w:val="0"/>
              <w:spacing w:before="0" w:after="1"/>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11,992</w:t>
            </w:r>
          </w:p>
        </w:tc>
        <w:tc>
          <w:tcPr>
            <w:tcW w:w="428" w:type="dxa"/>
            <w:tcBorders/>
            <w:vAlign w:val="center"/>
          </w:tcPr>
          <w:p>
            <w:pPr>
              <w:pStyle w:val="TableContents"/>
              <w:bidi w:val="0"/>
              <w:spacing w:before="0" w:after="1"/>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10,026</w:t>
            </w:r>
          </w:p>
        </w:tc>
        <w:tc>
          <w:tcPr>
            <w:tcW w:w="346" w:type="dxa"/>
            <w:tcBorders/>
            <w:vAlign w:val="center"/>
          </w:tcPr>
          <w:p>
            <w:pPr>
              <w:pStyle w:val="TableContents"/>
              <w:bidi w:val="0"/>
              <w:spacing w:before="0" w:after="1"/>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23,493</w:t>
            </w:r>
          </w:p>
        </w:tc>
        <w:tc>
          <w:tcPr>
            <w:tcW w:w="385" w:type="dxa"/>
            <w:tcBorders/>
            <w:vAlign w:val="center"/>
          </w:tcPr>
          <w:p>
            <w:pPr>
              <w:pStyle w:val="TableContents"/>
              <w:bidi w:val="0"/>
              <w:spacing w:before="0" w:after="1"/>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21,550</w:t>
            </w:r>
          </w:p>
        </w:tc>
      </w:tr>
    </w:tbl>
    <w:p>
      <w:pPr>
        <w:pStyle w:val="TextBody"/>
        <w:bidi w:val="0"/>
        <w:spacing w:before="0" w:after="0"/>
        <w:ind w:left="0" w:right="0" w:hanging="0"/>
        <w:jc w:val="left"/>
        <w:rPr/>
      </w:pPr>
      <w:r>
        <w:rPr/>
        <w:t>​</w:t>
      </w:r>
    </w:p>
    <w:tbl>
      <w:tblPr>
        <w:tblW w:w="8540" w:type="dxa"/>
        <w:jc w:val="left"/>
        <w:tblInd w:w="0" w:type="dxa"/>
        <w:tblLayout w:type="fixed"/>
        <w:tblCellMar>
          <w:top w:w="0" w:type="dxa"/>
          <w:left w:w="0" w:type="dxa"/>
          <w:bottom w:w="0" w:type="dxa"/>
          <w:right w:w="0" w:type="dxa"/>
        </w:tblCellMar>
      </w:tblPr>
      <w:tblGrid>
        <w:gridCol w:w="3736"/>
        <w:gridCol w:w="346"/>
        <w:gridCol w:w="836"/>
        <w:gridCol w:w="428"/>
        <w:gridCol w:w="837"/>
        <w:gridCol w:w="346"/>
        <w:gridCol w:w="753"/>
        <w:gridCol w:w="385"/>
        <w:gridCol w:w="873"/>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2372360" cy="175260"/>
                      <wp:effectExtent l="0" t="0" r="0" b="0"/>
                      <wp:wrapNone/>
                      <wp:docPr id="421" name="Frame414"/>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530860" cy="175260"/>
                      <wp:effectExtent l="0" t="0" r="0" b="0"/>
                      <wp:wrapNone/>
                      <wp:docPr id="423" name="Frame416"/>
                      <a:graphic xmlns:a="http://schemas.openxmlformats.org/drawingml/2006/main">
                        <a:graphicData uri="http://schemas.microsoft.com/office/word/2010/wordprocessingShape">
                          <wps:wsp>
                            <wps:cNvSpPr txBox="1"/>
                            <wps:spPr>
                              <a:xfrm>
                                <a:off x="0" y="0"/>
                                <a:ext cx="530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71780" cy="175260"/>
                      <wp:effectExtent l="0" t="0" r="0" b="0"/>
                      <wp:wrapNone/>
                      <wp:docPr id="424" name="Frame417"/>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531495" cy="175260"/>
                      <wp:effectExtent l="0" t="0" r="0" b="0"/>
                      <wp:wrapNone/>
                      <wp:docPr id="425" name="Frame418"/>
                      <a:graphic xmlns:a="http://schemas.openxmlformats.org/drawingml/2006/main">
                        <a:graphicData uri="http://schemas.microsoft.com/office/word/2010/wordprocessingShape">
                          <wps:wsp>
                            <wps:cNvSpPr txBox="1"/>
                            <wps:spPr>
                              <a:xfrm>
                                <a:off x="0" y="0"/>
                                <a:ext cx="5314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19710" cy="175260"/>
                      <wp:effectExtent l="0" t="0" r="0" b="0"/>
                      <wp:wrapNone/>
                      <wp:docPr id="426"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478155" cy="175260"/>
                      <wp:effectExtent l="0" t="0" r="0" b="0"/>
                      <wp:wrapNone/>
                      <wp:docPr id="427" name="Frame420"/>
                      <a:graphic xmlns:a="http://schemas.openxmlformats.org/drawingml/2006/main">
                        <a:graphicData uri="http://schemas.microsoft.com/office/word/2010/wordprocessingShape">
                          <wps:wsp>
                            <wps:cNvSpPr txBox="1"/>
                            <wps:spPr>
                              <a:xfrm>
                                <a:off x="0" y="0"/>
                                <a:ext cx="478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244475" cy="175260"/>
                      <wp:effectExtent l="0" t="0" r="0" b="0"/>
                      <wp:wrapNone/>
                      <wp:docPr id="428" name="Frame421"/>
                      <a:graphic xmlns:a="http://schemas.openxmlformats.org/drawingml/2006/main">
                        <a:graphicData uri="http://schemas.microsoft.com/office/word/2010/wordprocessingShape">
                          <wps:wsp>
                            <wps:cNvSpPr txBox="1"/>
                            <wps:spPr>
                              <a:xfrm>
                                <a:off x="0" y="0"/>
                                <a:ext cx="2444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554355" cy="175260"/>
                      <wp:effectExtent l="0" t="0" r="0" b="0"/>
                      <wp:wrapNone/>
                      <wp:docPr id="429" name="Frame422"/>
                      <a:graphic xmlns:a="http://schemas.openxmlformats.org/drawingml/2006/main">
                        <a:graphicData uri="http://schemas.microsoft.com/office/word/2010/wordprocessingShape">
                          <wps:wsp>
                            <wps:cNvSpPr txBox="1"/>
                            <wps:spPr>
                              <a:xfrm>
                                <a:off x="0" y="0"/>
                                <a:ext cx="554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0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46" w:type="dxa"/>
            <w:tcBorders/>
            <w:vAlign w:val="center"/>
          </w:tcPr>
          <w:p>
            <w:pPr>
              <w:pStyle w:val="TableContents"/>
              <w:bidi w:val="0"/>
              <w:spacing w:before="0" w:after="0"/>
              <w:ind w:left="0" w:right="0" w:hanging="0"/>
              <w:jc w:val="center"/>
              <w:rPr/>
            </w:pPr>
            <w:r>
              <w:rPr/>
              <w:t>​</w:t>
            </w:r>
          </w:p>
        </w:tc>
        <w:tc>
          <w:tcPr>
            <w:tcW w:w="201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w:t>
            </w:r>
          </w:p>
        </w:tc>
      </w:tr>
      <w:tr>
        <w:trPr/>
        <w:tc>
          <w:tcPr>
            <w:tcW w:w="373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0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201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28" w:type="dxa"/>
            <w:tcBorders/>
            <w:vAlign w:val="center"/>
          </w:tcPr>
          <w:p>
            <w:pPr>
              <w:pStyle w:val="TableContents"/>
              <w:bidi w:val="0"/>
              <w:spacing w:before="0" w:after="0"/>
              <w:ind w:left="0" w:right="0" w:hanging="0"/>
              <w:jc w:val="center"/>
              <w:rPr/>
            </w:pPr>
            <w:r>
              <w:rPr/>
              <w:t>  ​ ​ ​</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5" w:type="dxa"/>
            <w:tcBorders/>
            <w:vAlign w:val="center"/>
          </w:tcPr>
          <w:p>
            <w:pPr>
              <w:pStyle w:val="TableContents"/>
              <w:bidi w:val="0"/>
              <w:spacing w:before="0" w:after="0"/>
              <w:ind w:left="0" w:right="0" w:hanging="0"/>
              <w:jc w:val="center"/>
              <w:rPr/>
            </w:pPr>
            <w:r>
              <w:rPr/>
              <w:t>  ​ ​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8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8,942</w:t>
            </w:r>
          </w:p>
        </w:tc>
        <w:tc>
          <w:tcPr>
            <w:tcW w:w="428" w:type="dxa"/>
            <w:tcBorders/>
            <w:shd w:fill="CCEEFF" w:val="clear"/>
            <w:vAlign w:val="center"/>
          </w:tcPr>
          <w:p>
            <w:pPr>
              <w:pStyle w:val="TableContents"/>
              <w:bidi w:val="0"/>
              <w:spacing w:before="0" w:after="0"/>
              <w:ind w:left="0" w:right="0" w:hanging="0"/>
              <w:jc w:val="left"/>
              <w:rPr/>
            </w:pPr>
            <w:r>
              <w:rPr/>
              <w:t>​</w:t>
            </w:r>
          </w:p>
        </w:tc>
        <w:tc>
          <w:tcPr>
            <w:tcW w:w="83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6,326</w:t>
            </w:r>
          </w:p>
        </w:tc>
        <w:tc>
          <w:tcPr>
            <w:tcW w:w="346" w:type="dxa"/>
            <w:tcBorders/>
            <w:shd w:fill="CCEEFF" w:val="clear"/>
            <w:vAlign w:val="center"/>
          </w:tcPr>
          <w:p>
            <w:pPr>
              <w:pStyle w:val="TableContents"/>
              <w:bidi w:val="0"/>
              <w:spacing w:before="0" w:after="0"/>
              <w:ind w:left="0" w:right="0" w:hanging="0"/>
              <w:jc w:val="left"/>
              <w:rPr/>
            </w:pPr>
            <w:r>
              <w:rPr/>
              <w:t>​</w:t>
            </w:r>
          </w:p>
        </w:tc>
        <w:tc>
          <w:tcPr>
            <w:tcW w:w="7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17,718</w:t>
            </w:r>
          </w:p>
        </w:tc>
        <w:tc>
          <w:tcPr>
            <w:tcW w:w="385" w:type="dxa"/>
            <w:tcBorders/>
            <w:shd w:fill="CCEEFF" w:val="clear"/>
            <w:vAlign w:val="center"/>
          </w:tcPr>
          <w:p>
            <w:pPr>
              <w:pStyle w:val="TableContents"/>
              <w:bidi w:val="0"/>
              <w:spacing w:before="0" w:after="0"/>
              <w:ind w:left="0" w:right="0" w:hanging="0"/>
              <w:jc w:val="left"/>
              <w:rPr/>
            </w:pPr>
            <w:r>
              <w:rPr/>
              <w:t> </w:t>
            </w:r>
          </w:p>
        </w:tc>
        <w:tc>
          <w:tcPr>
            <w:tcW w:w="8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13,270</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&amp; Development expenses</w:t>
            </w:r>
          </w:p>
        </w:tc>
        <w:tc>
          <w:tcPr>
            <w:tcW w:w="346" w:type="dxa"/>
            <w:tcBorders/>
            <w:vAlign w:val="center"/>
          </w:tcPr>
          <w:p>
            <w:pPr>
              <w:pStyle w:val="TableContents"/>
              <w:bidi w:val="0"/>
              <w:spacing w:before="0" w:after="0"/>
              <w:ind w:left="0" w:right="0" w:hanging="0"/>
              <w:jc w:val="left"/>
              <w:rPr/>
            </w:pPr>
            <w:r>
              <w:rPr/>
              <w:t> </w:t>
            </w:r>
          </w:p>
        </w:tc>
        <w:tc>
          <w:tcPr>
            <w:tcW w:w="8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3,050</w:t>
            </w:r>
          </w:p>
        </w:tc>
        <w:tc>
          <w:tcPr>
            <w:tcW w:w="428" w:type="dxa"/>
            <w:tcBorders/>
            <w:vAlign w:val="center"/>
          </w:tcPr>
          <w:p>
            <w:pPr>
              <w:pStyle w:val="TableContents"/>
              <w:bidi w:val="0"/>
              <w:spacing w:before="0" w:after="0"/>
              <w:ind w:left="0" w:right="0" w:hanging="0"/>
              <w:jc w:val="left"/>
              <w:rPr/>
            </w:pPr>
            <w:r>
              <w:rPr/>
              <w:t>​</w:t>
            </w:r>
          </w:p>
        </w:tc>
        <w:tc>
          <w:tcPr>
            <w:tcW w:w="83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3,700</w:t>
            </w:r>
          </w:p>
        </w:tc>
        <w:tc>
          <w:tcPr>
            <w:tcW w:w="346" w:type="dxa"/>
            <w:tcBorders/>
            <w:vAlign w:val="center"/>
          </w:tcPr>
          <w:p>
            <w:pPr>
              <w:pStyle w:val="TableContents"/>
              <w:bidi w:val="0"/>
              <w:spacing w:before="0" w:after="0"/>
              <w:ind w:left="0" w:right="0" w:hanging="0"/>
              <w:jc w:val="left"/>
              <w:rPr/>
            </w:pPr>
            <w:r>
              <w:rPr/>
              <w:t>​</w:t>
            </w:r>
          </w:p>
        </w:tc>
        <w:tc>
          <w:tcPr>
            <w:tcW w:w="75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5,775</w:t>
            </w:r>
          </w:p>
        </w:tc>
        <w:tc>
          <w:tcPr>
            <w:tcW w:w="385" w:type="dxa"/>
            <w:tcBorders/>
            <w:vAlign w:val="center"/>
          </w:tcPr>
          <w:p>
            <w:pPr>
              <w:pStyle w:val="TableContents"/>
              <w:bidi w:val="0"/>
              <w:spacing w:before="0" w:after="0"/>
              <w:ind w:left="0" w:right="0" w:hanging="0"/>
              <w:jc w:val="left"/>
              <w:rPr/>
            </w:pPr>
            <w:r>
              <w:rPr/>
              <w:t> </w:t>
            </w:r>
          </w:p>
        </w:tc>
        <w:tc>
          <w:tcPr>
            <w:tcW w:w="87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8,280</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employee benefits</w:t>
            </w:r>
          </w:p>
        </w:tc>
        <w:tc>
          <w:tcPr>
            <w:tcW w:w="346" w:type="dxa"/>
            <w:tcBorders/>
            <w:shd w:fill="CCEEFF" w:val="clear"/>
            <w:vAlign w:val="center"/>
          </w:tcPr>
          <w:p>
            <w:pPr>
              <w:pStyle w:val="TableContents"/>
              <w:bidi w:val="0"/>
              <w:spacing w:before="0" w:after="0"/>
              <w:ind w:left="0" w:right="0" w:hanging="0"/>
              <w:jc w:val="left"/>
              <w:rPr/>
            </w:pPr>
            <w:r>
              <w:rPr/>
              <w:t> </w:t>
            </w:r>
          </w:p>
        </w:tc>
        <w:tc>
          <w:tcPr>
            <w:tcW w:w="8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11,992</w:t>
            </w:r>
          </w:p>
        </w:tc>
        <w:tc>
          <w:tcPr>
            <w:tcW w:w="428" w:type="dxa"/>
            <w:tcBorders/>
            <w:shd w:fill="CCEEFF" w:val="clear"/>
            <w:vAlign w:val="center"/>
          </w:tcPr>
          <w:p>
            <w:pPr>
              <w:pStyle w:val="TableContents"/>
              <w:bidi w:val="0"/>
              <w:spacing w:before="0" w:after="0"/>
              <w:ind w:left="0" w:right="0" w:hanging="0"/>
              <w:jc w:val="left"/>
              <w:rPr/>
            </w:pPr>
            <w:r>
              <w:rPr/>
              <w:t>​</w:t>
            </w:r>
          </w:p>
        </w:tc>
        <w:tc>
          <w:tcPr>
            <w:tcW w:w="8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10,026</w:t>
            </w:r>
          </w:p>
        </w:tc>
        <w:tc>
          <w:tcPr>
            <w:tcW w:w="346" w:type="dxa"/>
            <w:tcBorders/>
            <w:shd w:fill="CCEEFF" w:val="clear"/>
            <w:vAlign w:val="center"/>
          </w:tcPr>
          <w:p>
            <w:pPr>
              <w:pStyle w:val="TableContents"/>
              <w:bidi w:val="0"/>
              <w:spacing w:before="0" w:after="0"/>
              <w:ind w:left="0" w:right="0" w:hanging="0"/>
              <w:jc w:val="left"/>
              <w:rPr/>
            </w:pPr>
            <w:r>
              <w:rPr/>
              <w:t>​</w:t>
            </w:r>
          </w:p>
        </w:tc>
        <w:tc>
          <w:tcPr>
            <w:tcW w:w="7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23,493</w:t>
            </w:r>
          </w:p>
        </w:tc>
        <w:tc>
          <w:tcPr>
            <w:tcW w:w="385" w:type="dxa"/>
            <w:tcBorders/>
            <w:shd w:fill="CCEEFF" w:val="clear"/>
            <w:vAlign w:val="center"/>
          </w:tcPr>
          <w:p>
            <w:pPr>
              <w:pStyle w:val="TableContents"/>
              <w:bidi w:val="0"/>
              <w:spacing w:before="0" w:after="0"/>
              <w:ind w:left="0" w:right="0" w:hanging="0"/>
              <w:jc w:val="left"/>
              <w:rPr/>
            </w:pPr>
            <w:r>
              <w:rPr/>
              <w:t> </w:t>
            </w:r>
          </w:p>
        </w:tc>
        <w:tc>
          <w:tcPr>
            <w:tcW w:w="873"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21,550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710" w:name="Tc_CnpEXTHDpEqK32GpLrJB2Q_10_0"/>
      <w:bookmarkStart w:id="1711" w:name="Tc_8Lu-8CTvdEGw1_WvKe3huw_9_0"/>
      <w:bookmarkStart w:id="1712" w:name="Tc_Vn7k4r6gI0CE6hiCZ_cyiw_8_6"/>
      <w:bookmarkStart w:id="1713" w:name="Tc_bHch71h8s0SF7cYnp2yRFg_8_2"/>
      <w:bookmarkStart w:id="1714" w:name="Tc_LsUSElMYTkeN89ZjhlOu4A_8_0"/>
      <w:bookmarkStart w:id="1715" w:name="Tc_2cWYIEj1XkGGyylKnvLlNg_7_6"/>
      <w:bookmarkStart w:id="1716" w:name="Tc_dl6OEiCgyU-pKGzObQTUWw_7_2"/>
      <w:bookmarkStart w:id="1717" w:name="Tc_qS8PERCtIECLlaqEhQM_Eg_7_0"/>
      <w:bookmarkStart w:id="1718" w:name="Tc_WyitxgiOSkOw8Ik-sQVL4Q_6_6"/>
      <w:bookmarkStart w:id="1719" w:name="Tc_sULtXW-QUU-T2OwNuVZlog_6_0"/>
      <w:bookmarkStart w:id="1720" w:name="Tc_sewV7bJAuE2jMVEdZKxE6g_5_0"/>
      <w:bookmarkStart w:id="1721" w:name="Tc_ruUG60pMW0yPIl-mQk4qyA_4_0"/>
      <w:bookmarkStart w:id="1722" w:name="Tc_CSPrGKpZQkuOxQsjseqtBg_3_8"/>
      <w:bookmarkStart w:id="1723" w:name="Tc_u9cB-N9xd0ykqsHUW4y74Q_3_6"/>
      <w:bookmarkStart w:id="1724" w:name="Tc_VLRRj-wuyUWFYA0QErwL7g_3_4"/>
      <w:bookmarkStart w:id="1725" w:name="Tc_Hd4rv-bBV0iyaBVEitYLWA_3_2"/>
      <w:bookmarkStart w:id="1726" w:name="Tc_3UOx4Qu9jUSxOW26KH_6TA_3_0"/>
      <w:bookmarkStart w:id="1727" w:name="Tc_Uay2vJ42p0iTar0-5Evrmg_2_6"/>
      <w:bookmarkStart w:id="1728" w:name="Tc_0CDES85AVkezQe7ryDVKRQ_2_2"/>
      <w:bookmarkStart w:id="1729" w:name="Tc_xs_Ql6m48UmbmQ5JB-4M2g_1_6"/>
      <w:bookmarkStart w:id="1730" w:name="Tc_kyIYpTEJe0G18zfVJlIKAg_1_2"/>
      <w:bookmarkStart w:id="1731" w:name="a24Financialincome_866865"/>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r>
        <w:rPr>
          <w:rFonts w:ascii="Times New Roman;Times;serif" w:hAnsi="Times New Roman;Times;serif"/>
          <w:b/>
          <w:sz w:val="20"/>
        </w:rPr>
        <w:t>26.Financial income</w:t>
      </w:r>
    </w:p>
    <w:p>
      <w:pPr>
        <w:pStyle w:val="TextBody"/>
        <w:bidi w:val="0"/>
        <w:spacing w:before="0" w:after="240"/>
        <w:ind w:left="0" w:right="0" w:hanging="0"/>
        <w:jc w:val="both"/>
        <w:rPr/>
      </w:pPr>
      <w:r>
        <w:rPr/>
        <w:t>​</w:t>
      </w:r>
    </w:p>
    <w:tbl>
      <w:tblPr>
        <w:tblW w:w="9709" w:type="dxa"/>
        <w:jc w:val="left"/>
        <w:tblInd w:w="0" w:type="dxa"/>
        <w:tblLayout w:type="fixed"/>
        <w:tblCellMar>
          <w:top w:w="0" w:type="dxa"/>
          <w:left w:w="0" w:type="dxa"/>
          <w:bottom w:w="0" w:type="dxa"/>
          <w:right w:w="0" w:type="dxa"/>
        </w:tblCellMar>
      </w:tblPr>
      <w:tblGrid>
        <w:gridCol w:w="4861"/>
        <w:gridCol w:w="346"/>
        <w:gridCol w:w="823"/>
        <w:gridCol w:w="499"/>
        <w:gridCol w:w="823"/>
        <w:gridCol w:w="346"/>
        <w:gridCol w:w="720"/>
        <w:gridCol w:w="436"/>
        <w:gridCol w:w="855"/>
      </w:tblGrid>
      <w:tr>
        <w:trPr/>
        <w:tc>
          <w:tcPr>
            <w:tcW w:w="4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3086735" cy="175260"/>
                      <wp:effectExtent l="0" t="0" r="0" b="0"/>
                      <wp:wrapNone/>
                      <wp:docPr id="430" name="Frame423"/>
                      <a:graphic xmlns:a="http://schemas.openxmlformats.org/drawingml/2006/main">
                        <a:graphicData uri="http://schemas.microsoft.com/office/word/2010/wordprocessingShape">
                          <wps:wsp>
                            <wps:cNvSpPr txBox="1"/>
                            <wps:spPr>
                              <a:xfrm>
                                <a:off x="0" y="0"/>
                                <a:ext cx="30867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19710" cy="175260"/>
                      <wp:effectExtent l="0" t="0" r="0" b="0"/>
                      <wp:wrapNone/>
                      <wp:docPr id="431" name="Frame4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522605" cy="175260"/>
                      <wp:effectExtent l="0" t="0" r="0" b="0"/>
                      <wp:wrapNone/>
                      <wp:docPr id="432" name="Frame425"/>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316865" cy="175260"/>
                      <wp:effectExtent l="0" t="0" r="0" b="0"/>
                      <wp:wrapNone/>
                      <wp:docPr id="433" name="Frame426"/>
                      <a:graphic xmlns:a="http://schemas.openxmlformats.org/drawingml/2006/main">
                        <a:graphicData uri="http://schemas.microsoft.com/office/word/2010/wordprocessingShape">
                          <wps:wsp>
                            <wps:cNvSpPr txBox="1"/>
                            <wps:spPr>
                              <a:xfrm>
                                <a:off x="0" y="0"/>
                                <a:ext cx="3168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522605" cy="175260"/>
                      <wp:effectExtent l="0" t="0" r="0" b="0"/>
                      <wp:wrapNone/>
                      <wp:docPr id="434" name="Frame42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457200" cy="175260"/>
                      <wp:effectExtent l="0" t="0" r="0" b="0"/>
                      <wp:wrapNone/>
                      <wp:docPr id="436" name="Frame429"/>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276860" cy="175260"/>
                      <wp:effectExtent l="0" t="0" r="0" b="0"/>
                      <wp:wrapNone/>
                      <wp:docPr id="437" name="Frame430"/>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542925" cy="175260"/>
                      <wp:effectExtent l="0" t="0" r="0" b="0"/>
                      <wp:wrapNone/>
                      <wp:docPr id="438" name="Frame431"/>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45"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1"/>
              <w:ind w:left="0" w:right="0" w:hanging="0"/>
              <w:jc w:val="center"/>
              <w:rPr/>
            </w:pPr>
            <w:r>
              <w:rPr/>
              <w:t>​</w:t>
            </w:r>
          </w:p>
        </w:tc>
        <w:tc>
          <w:tcPr>
            <w:tcW w:w="2011"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six months ended </w:t>
            </w:r>
          </w:p>
        </w:tc>
      </w:tr>
      <w:tr>
        <w:trPr/>
        <w:tc>
          <w:tcPr>
            <w:tcW w:w="486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4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center"/>
              <w:rPr/>
            </w:pPr>
            <w:r>
              <w:rPr/>
              <w:t>​</w:t>
            </w:r>
          </w:p>
        </w:tc>
        <w:tc>
          <w:tcPr>
            <w:tcW w:w="2011"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1"/>
              <w:ind w:left="0" w:right="0" w:hanging="0"/>
              <w:jc w:val="center"/>
              <w:rPr/>
            </w:pPr>
            <w:r>
              <w:rPr/>
              <w:t>  ​ ​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99" w:type="dxa"/>
            <w:tcBorders/>
            <w:vAlign w:val="center"/>
          </w:tcPr>
          <w:p>
            <w:pPr>
              <w:pStyle w:val="TableContents"/>
              <w:bidi w:val="0"/>
              <w:spacing w:before="0" w:after="1"/>
              <w:ind w:left="0" w:right="0" w:hanging="0"/>
              <w:jc w:val="center"/>
              <w:rPr/>
            </w:pPr>
            <w:r>
              <w:rPr/>
              <w:t>  ​ ​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2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6" w:type="dxa"/>
            <w:tcBorders/>
            <w:vAlign w:val="center"/>
          </w:tcPr>
          <w:p>
            <w:pPr>
              <w:pStyle w:val="TableContents"/>
              <w:bidi w:val="0"/>
              <w:spacing w:before="0" w:after="1"/>
              <w:ind w:left="0" w:right="0" w:hanging="0"/>
              <w:jc w:val="center"/>
              <w:rPr/>
            </w:pPr>
            <w:r>
              <w:rPr/>
              <w:t>  ​ ​ ​</w:t>
            </w:r>
          </w:p>
        </w:tc>
        <w:tc>
          <w:tcPr>
            <w:tcW w:w="85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Interests</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499"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513</w:t>
            </w:r>
          </w:p>
        </w:tc>
        <w:tc>
          <w:tcPr>
            <w:tcW w:w="346" w:type="dxa"/>
            <w:tcBorders/>
            <w:shd w:fill="CCEEFF" w:val="clear"/>
            <w:vAlign w:val="center"/>
          </w:tcPr>
          <w:p>
            <w:pPr>
              <w:pStyle w:val="TableContents"/>
              <w:bidi w:val="0"/>
              <w:spacing w:before="0" w:after="1"/>
              <w:ind w:left="0" w:right="0" w:hanging="0"/>
              <w:jc w:val="left"/>
              <w:rPr/>
            </w:pPr>
            <w:r>
              <w:rPr/>
              <w:t>​</w:t>
            </w:r>
          </w:p>
        </w:tc>
        <w:tc>
          <w:tcPr>
            <w:tcW w:w="72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436" w:type="dxa"/>
            <w:tcBorders/>
            <w:shd w:fill="CCEEFF" w:val="clear"/>
            <w:vAlign w:val="center"/>
          </w:tcPr>
          <w:p>
            <w:pPr>
              <w:pStyle w:val="TableContents"/>
              <w:bidi w:val="0"/>
              <w:spacing w:before="0" w:after="1"/>
              <w:ind w:left="0" w:right="0" w:hanging="0"/>
              <w:jc w:val="left"/>
              <w:rPr/>
            </w:pPr>
            <w:r>
              <w:rPr/>
              <w:t> </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1,458</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46" w:type="dxa"/>
            <w:tcBorders/>
            <w:vAlign w:val="center"/>
          </w:tcPr>
          <w:p>
            <w:pPr>
              <w:pStyle w:val="TableContents"/>
              <w:bidi w:val="0"/>
              <w:spacing w:before="0" w:after="1"/>
              <w:ind w:left="0" w:right="0" w:hanging="0"/>
              <w:jc w:val="left"/>
              <w:rPr/>
            </w:pPr>
            <w:r>
              <w:rPr/>
              <w:t> </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1,211</w:t>
            </w:r>
          </w:p>
        </w:tc>
        <w:tc>
          <w:tcPr>
            <w:tcW w:w="499"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2,164</w:t>
            </w:r>
          </w:p>
        </w:tc>
        <w:tc>
          <w:tcPr>
            <w:tcW w:w="346" w:type="dxa"/>
            <w:tcBorders/>
            <w:vAlign w:val="center"/>
          </w:tcPr>
          <w:p>
            <w:pPr>
              <w:pStyle w:val="TableContents"/>
              <w:bidi w:val="0"/>
              <w:spacing w:before="0" w:after="1"/>
              <w:ind w:left="0" w:right="0" w:hanging="0"/>
              <w:jc w:val="left"/>
              <w:rPr/>
            </w:pPr>
            <w:r>
              <w:rPr/>
              <w:t>​</w:t>
            </w:r>
          </w:p>
        </w:tc>
        <w:tc>
          <w:tcPr>
            <w:tcW w:w="72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2,205</w:t>
            </w:r>
          </w:p>
        </w:tc>
        <w:tc>
          <w:tcPr>
            <w:tcW w:w="436" w:type="dxa"/>
            <w:tcBorders/>
            <w:vAlign w:val="center"/>
          </w:tcPr>
          <w:p>
            <w:pPr>
              <w:pStyle w:val="TableContents"/>
              <w:bidi w:val="0"/>
              <w:spacing w:before="0" w:after="1"/>
              <w:ind w:left="0" w:right="0" w:hanging="0"/>
              <w:jc w:val="left"/>
              <w:rPr/>
            </w:pPr>
            <w:r>
              <w:rPr/>
              <w:t> </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2,951</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 foreign currency swaps and forwards</w:t>
            </w:r>
          </w:p>
        </w:tc>
        <w:tc>
          <w:tcPr>
            <w:tcW w:w="346"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499"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w:t>
            </w:r>
          </w:p>
        </w:tc>
        <w:tc>
          <w:tcPr>
            <w:tcW w:w="346" w:type="dxa"/>
            <w:tcBorders/>
            <w:shd w:fill="CCEEFF" w:val="clear"/>
            <w:vAlign w:val="center"/>
          </w:tcPr>
          <w:p>
            <w:pPr>
              <w:pStyle w:val="TableContents"/>
              <w:bidi w:val="0"/>
              <w:spacing w:before="0" w:after="1"/>
              <w:ind w:left="0" w:right="0" w:hanging="0"/>
              <w:jc w:val="left"/>
              <w:rPr/>
            </w:pPr>
            <w:r>
              <w:rPr/>
              <w:t>​</w:t>
            </w:r>
          </w:p>
        </w:tc>
        <w:tc>
          <w:tcPr>
            <w:tcW w:w="720" w:type="dxa"/>
            <w:tcBorders/>
            <w:shd w:fill="CCEEFF" w:val="clear"/>
            <w:vAlign w:val="center"/>
          </w:tcPr>
          <w:p>
            <w:pPr>
              <w:pStyle w:val="TableContents"/>
              <w:bidi w:val="0"/>
              <w:spacing w:before="0" w:after="1"/>
              <w:ind w:left="0" w:right="0" w:hanging="0"/>
              <w:jc w:val="righ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 synthetic warrants</w:t>
            </w:r>
          </w:p>
        </w:tc>
        <w:tc>
          <w:tcPr>
            <w:tcW w:w="346"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pPr>
            <w:r>
              <w:rPr/>
              <w:t>—</w:t>
            </w:r>
          </w:p>
        </w:tc>
        <w:tc>
          <w:tcPr>
            <w:tcW w:w="499" w:type="dxa"/>
            <w:tcBorders/>
            <w:vAlign w:val="center"/>
          </w:tcPr>
          <w:p>
            <w:pPr>
              <w:pStyle w:val="TableContents"/>
              <w:bidi w:val="0"/>
              <w:spacing w:before="0" w:after="1"/>
              <w:ind w:left="0" w:right="0" w:hanging="0"/>
              <w:jc w:val="left"/>
              <w:rPr/>
            </w:pPr>
            <w:r>
              <w:rPr/>
              <w:t>​</w:t>
            </w:r>
          </w:p>
        </w:tc>
        <w:tc>
          <w:tcPr>
            <w:tcW w:w="82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46" w:type="dxa"/>
            <w:tcBorders/>
            <w:vAlign w:val="center"/>
          </w:tcPr>
          <w:p>
            <w:pPr>
              <w:pStyle w:val="TableContents"/>
              <w:bidi w:val="0"/>
              <w:spacing w:before="0" w:after="1"/>
              <w:ind w:left="0" w:right="0" w:hanging="0"/>
              <w:jc w:val="left"/>
              <w:rPr/>
            </w:pPr>
            <w:r>
              <w:rPr/>
              <w:t>​</w:t>
            </w:r>
          </w:p>
        </w:tc>
        <w:tc>
          <w:tcPr>
            <w:tcW w:w="720" w:type="dxa"/>
            <w:tcBorders/>
            <w:vAlign w:val="center"/>
          </w:tcPr>
          <w:p>
            <w:pPr>
              <w:pStyle w:val="TableContents"/>
              <w:bidi w:val="0"/>
              <w:spacing w:before="0" w:after="1"/>
              <w:ind w:left="0" w:right="0" w:hanging="0"/>
              <w:jc w:val="right"/>
              <w:rPr/>
            </w:pPr>
            <w:r>
              <w:rPr/>
              <w:t>—</w:t>
            </w:r>
          </w:p>
        </w:tc>
        <w:tc>
          <w:tcPr>
            <w:tcW w:w="436" w:type="dxa"/>
            <w:tcBorders/>
            <w:vAlign w:val="center"/>
          </w:tcPr>
          <w:p>
            <w:pPr>
              <w:pStyle w:val="TableContents"/>
              <w:bidi w:val="0"/>
              <w:spacing w:before="0" w:after="1"/>
              <w:ind w:left="0" w:right="0" w:hanging="0"/>
              <w:jc w:val="left"/>
              <w:rPr/>
            </w:pPr>
            <w:r>
              <w:rPr/>
              <w:t>​</w:t>
            </w:r>
          </w:p>
        </w:tc>
        <w:tc>
          <w:tcPr>
            <w:tcW w:w="85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508</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adjustment prepayment option</w:t>
            </w:r>
          </w:p>
        </w:tc>
        <w:tc>
          <w:tcPr>
            <w:tcW w:w="346"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pPr>
            <w:r>
              <w:rPr/>
              <w:t>—</w:t>
            </w:r>
          </w:p>
        </w:tc>
        <w:tc>
          <w:tcPr>
            <w:tcW w:w="499" w:type="dxa"/>
            <w:tcBorders/>
            <w:shd w:fill="CCEEFF" w:val="clear"/>
            <w:vAlign w:val="center"/>
          </w:tcPr>
          <w:p>
            <w:pPr>
              <w:pStyle w:val="TableContents"/>
              <w:bidi w:val="0"/>
              <w:spacing w:before="0" w:after="1"/>
              <w:ind w:left="0" w:right="0" w:hanging="0"/>
              <w:jc w:val="left"/>
              <w:rPr/>
            </w:pPr>
            <w:r>
              <w:rPr/>
              <w:t>​</w:t>
            </w:r>
          </w:p>
        </w:tc>
        <w:tc>
          <w:tcPr>
            <w:tcW w:w="82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shd w:fill="CCEEFF" w:val="clear"/>
            <w:vAlign w:val="center"/>
          </w:tcPr>
          <w:p>
            <w:pPr>
              <w:pStyle w:val="TableContents"/>
              <w:bidi w:val="0"/>
              <w:spacing w:before="0" w:after="1"/>
              <w:ind w:left="0" w:right="0" w:hanging="0"/>
              <w:jc w:val="left"/>
              <w:rPr/>
            </w:pPr>
            <w:r>
              <w:rPr/>
              <w:t>​</w:t>
            </w:r>
          </w:p>
        </w:tc>
        <w:tc>
          <w:tcPr>
            <w:tcW w:w="720" w:type="dxa"/>
            <w:tcBorders/>
            <w:shd w:fill="CCEEFF" w:val="clear"/>
            <w:vAlign w:val="center"/>
          </w:tcPr>
          <w:p>
            <w:pPr>
              <w:pStyle w:val="TableContents"/>
              <w:bidi w:val="0"/>
              <w:spacing w:before="0" w:after="1"/>
              <w:ind w:left="0" w:right="0" w:hanging="0"/>
              <w:jc w:val="right"/>
              <w:rPr/>
            </w:pPr>
            <w:r>
              <w:rPr/>
              <w:t>—</w:t>
            </w:r>
          </w:p>
        </w:tc>
        <w:tc>
          <w:tcPr>
            <w:tcW w:w="436" w:type="dxa"/>
            <w:tcBorders/>
            <w:shd w:fill="CCEEFF" w:val="clear"/>
            <w:vAlign w:val="center"/>
          </w:tcPr>
          <w:p>
            <w:pPr>
              <w:pStyle w:val="TableContents"/>
              <w:bidi w:val="0"/>
              <w:spacing w:before="0" w:after="1"/>
              <w:ind w:left="0" w:right="0" w:hanging="0"/>
              <w:jc w:val="left"/>
              <w:rPr/>
            </w:pPr>
            <w:r>
              <w:rPr/>
              <w:t>​</w:t>
            </w:r>
          </w:p>
        </w:tc>
        <w:tc>
          <w:tcPr>
            <w:tcW w:w="85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w:t>
            </w:r>
          </w:p>
        </w:tc>
      </w:tr>
      <w:tr>
        <w:trPr/>
        <w:tc>
          <w:tcPr>
            <w:tcW w:w="48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before="0" w:after="1"/>
              <w:ind w:left="0" w:right="0" w:hanging="0"/>
              <w:jc w:val="left"/>
              <w:rPr/>
            </w:pPr>
            <w:r>
              <w:rPr/>
              <w:t> </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499" w:type="dxa"/>
            <w:tcBorders/>
            <w:vAlign w:val="center"/>
          </w:tcPr>
          <w:p>
            <w:pPr>
              <w:pStyle w:val="TableContents"/>
              <w:bidi w:val="0"/>
              <w:spacing w:before="0" w:after="1"/>
              <w:ind w:left="0" w:right="0" w:hanging="0"/>
              <w:jc w:val="left"/>
              <w:rPr/>
            </w:pPr>
            <w:r>
              <w:rPr/>
              <w:t>​</w:t>
            </w:r>
          </w:p>
        </w:tc>
        <w:tc>
          <w:tcPr>
            <w:tcW w:w="823"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1"/>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436" w:type="dxa"/>
            <w:tcBorders/>
            <w:vAlign w:val="center"/>
          </w:tcPr>
          <w:p>
            <w:pPr>
              <w:pStyle w:val="TableContents"/>
              <w:bidi w:val="0"/>
              <w:spacing w:before="0" w:after="1"/>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486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financial income</w:t>
            </w:r>
          </w:p>
        </w:tc>
        <w:tc>
          <w:tcPr>
            <w:tcW w:w="346" w:type="dxa"/>
            <w:tcBorders/>
            <w:shd w:fill="CCEEFF" w:val="clear"/>
            <w:vAlign w:val="center"/>
          </w:tcPr>
          <w:p>
            <w:pPr>
              <w:pStyle w:val="TableContents"/>
              <w:bidi w:val="0"/>
              <w:spacing w:before="0" w:after="1"/>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1,179</w:t>
            </w:r>
          </w:p>
        </w:tc>
        <w:tc>
          <w:tcPr>
            <w:tcW w:w="499" w:type="dxa"/>
            <w:tcBorders/>
            <w:shd w:fill="CCEEFF" w:val="clear"/>
            <w:vAlign w:val="center"/>
          </w:tcPr>
          <w:p>
            <w:pPr>
              <w:pStyle w:val="TableContents"/>
              <w:bidi w:val="0"/>
              <w:spacing w:before="0" w:after="1"/>
              <w:ind w:left="0" w:right="0" w:hanging="0"/>
              <w:jc w:val="left"/>
              <w:rPr/>
            </w:pPr>
            <w:r>
              <w:rPr/>
              <w:t>​</w:t>
            </w:r>
          </w:p>
        </w:tc>
        <w:tc>
          <w:tcPr>
            <w:tcW w:w="823"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2,858</w:t>
            </w:r>
          </w:p>
        </w:tc>
        <w:tc>
          <w:tcPr>
            <w:tcW w:w="346" w:type="dxa"/>
            <w:tcBorders/>
            <w:shd w:fill="CCEEFF" w:val="clear"/>
            <w:vAlign w:val="center"/>
          </w:tcPr>
          <w:p>
            <w:pPr>
              <w:pStyle w:val="TableContents"/>
              <w:bidi w:val="0"/>
              <w:spacing w:before="0" w:after="1"/>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2,468</w:t>
            </w:r>
          </w:p>
        </w:tc>
        <w:tc>
          <w:tcPr>
            <w:tcW w:w="436" w:type="dxa"/>
            <w:tcBorders/>
            <w:shd w:fill="CCEEFF" w:val="clear"/>
            <w:vAlign w:val="center"/>
          </w:tcPr>
          <w:p>
            <w:pPr>
              <w:pStyle w:val="TableContents"/>
              <w:bidi w:val="0"/>
              <w:spacing w:before="0" w:after="1"/>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b/>
                <w:sz w:val="20"/>
              </w:rPr>
            </w:pPr>
            <w:r>
              <w:rPr>
                <w:rFonts w:ascii="Times New Roman;Times;serif" w:hAnsi="Times New Roman;Times;serif"/>
                <w:b/>
                <w:sz w:val="20"/>
              </w:rPr>
              <w:t>5,480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financial income decreased from €5.5 million for the six month period ended June 30, 2025 to €2.5 million for the six month period ended June 30, 2026. This decrease can mainly be explained by a decrease in interest by €1.2 million, decrease in exchange differences by €0.7 million, decrease in fair value adjustment on synthetic warrants by €0.5 million and decrease in fair value adjustment on foreign currency swaps and forwards by €493,000.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 period ended June 30, 2026, exchange gains amount to €2.2 million which consists of €0.8 million realized exchange gains and €1.4 million unrealized gains. The unrealized exchange result is mainly related to the revaluation of both the Company’s USD cash balance and USD financial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holds both EUR and USD balances, each used to settle expenses in their respective currencies.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While the Company does hedge a few transactions using swap contracts, the Company does not apply hedge accounting. The swap instruments are short-term and mainly used to manage transactional exposures in GBP, ILS, and CHF. Although GBP sales are expected to cover GBP costs going forward, some contracts have been used to address short-term needs. In addition, a few swaps were used to neutralize the currency impact of our USD-denominated T-bills, which were purchased using EUR balances for convenience, in line with the portfolio allocation approved by the board.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main contributor to the exchange gain is explained by the fact that the majority of the cash held by the Belgian subsidiary is held in USD to cover future USD expenses. As a result, the recent depreciation of the euro, approximately 3.0 % between January 1 and June 30, 2026, has led to a unrealized FX gain upon translation of USD cash to the functional currency of the subsidiary which is EUR.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six month period ended June 30, 2026, total interest income amounted to €250,000 (three month period ended June 30, 2026: €82,000). This interest income relates to the term accounts. The decrease can be explained by a decrease in number of term accounts contracted by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fair value adjustments of synthetic warrants and prepayment option are related to the EIB loan facility agreement. More information can be found in note </w:t>
      </w:r>
      <w:r>
        <w:rPr>
          <w:rFonts w:ascii="Times New Roman;Times;serif" w:hAnsi="Times New Roman;Times;serif"/>
          <w:b/>
          <w:sz w:val="20"/>
        </w:rPr>
        <w:t>18</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More information on the fair value adjustment on the convertible bond can be found in note 18.3.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More information on the fair value adjustment foreign currency swaps and forwards can be found in note 23</w:t>
      </w:r>
      <w:r>
        <w:rPr>
          <w:rFonts w:ascii="Times New Roman;Times;serif" w:hAnsi="Times New Roman;Times;serif"/>
          <w:b/>
          <w:sz w:val="20"/>
        </w:rPr>
        <w:t>.</w:t>
      </w:r>
    </w:p>
    <w:p>
      <w:pPr>
        <w:pStyle w:val="TextBody"/>
        <w:bidi w:val="0"/>
        <w:spacing w:before="0" w:after="240"/>
        <w:ind w:left="0" w:right="0" w:hanging="0"/>
        <w:jc w:val="left"/>
        <w:rPr>
          <w:rFonts w:ascii="Times New Roman;Times;serif" w:hAnsi="Times New Roman;Times;serif"/>
          <w:b/>
          <w:sz w:val="20"/>
        </w:rPr>
      </w:pPr>
      <w:bookmarkStart w:id="1732" w:name="Tc_NVXVE44aC0S_98EH9qQtBw_13_0"/>
      <w:bookmarkStart w:id="1733" w:name="Tc_dztSkKu55Em-zeffKE6HDw_12_0"/>
      <w:bookmarkStart w:id="1734" w:name="Tc_iO4PD6GwYUydPo3FxSLwlw_11_0"/>
      <w:bookmarkStart w:id="1735" w:name="Tc_Z47GK6Ok5ESZnXSnHlqEYQ_10_0"/>
      <w:bookmarkStart w:id="1736" w:name="Tc_miccLV5VY0KQAI--fVfblw_9_0"/>
      <w:bookmarkStart w:id="1737" w:name="Tc_WKr_VIBuGkeX2JPEZGJXkA_8_0"/>
      <w:bookmarkStart w:id="1738" w:name="Tc_Cz0fAHokKUKjTXIqicwXpQ_7_8"/>
      <w:bookmarkStart w:id="1739" w:name="Tc_0ITGT7a6BkiXl9pZc-osQg_7_4"/>
      <w:bookmarkStart w:id="1740" w:name="Tc_kTouvwCrJk2OCURUqlOE4g_7_0"/>
      <w:bookmarkStart w:id="1741" w:name="Tc_nAyve0gEsUy8yqeZ3SbUIg_6_8"/>
      <w:bookmarkStart w:id="1742" w:name="Tc_jncxRyqL3E-NgyTisUQ4iw_6_4"/>
      <w:bookmarkStart w:id="1743" w:name="Tc_t9sgoG5l60Kwwmu1XQmE3A_6_0"/>
      <w:bookmarkStart w:id="1744" w:name="Tc_PbdqsQHCFEyuqYWQoyqweg_5_8"/>
      <w:bookmarkStart w:id="1745" w:name="Tc_JEVc-LgZBkipld4j8o2qRQ_5_4"/>
      <w:bookmarkStart w:id="1746" w:name="Tc_09ojd_MnyUef1U40CZ2QWw_5_0"/>
      <w:bookmarkStart w:id="1747" w:name="Tc_QeQhNzB47ka3TUZCPpGvKQ_4_8"/>
      <w:bookmarkStart w:id="1748" w:name="Tc_25ypr3PF_U6gQS6_jgdE6Q_4_4"/>
      <w:bookmarkStart w:id="1749" w:name="Tc_BmILzHysG0yZxHcxw2rSsA_4_0"/>
      <w:bookmarkStart w:id="1750" w:name="Tc_jwo9VMn_SEy09I3MwYxibw_3_8"/>
      <w:bookmarkStart w:id="1751" w:name="Tc_hVArI1xhcE2T6OXzhVyuiw_3_6"/>
      <w:bookmarkStart w:id="1752" w:name="Tc_U1FMekIXOUKg2bUL5A11Kg_3_4"/>
      <w:bookmarkStart w:id="1753" w:name="Tc_Opht5ekgb0ax17_BUpMGgQ_3_2"/>
      <w:bookmarkStart w:id="1754" w:name="Tc_JuWXdjbiMU6KXuRvJGlCfw_3_0"/>
      <w:bookmarkStart w:id="1755" w:name="Tc_wefE9A6A3kGezK-eciFL3Q_2_6"/>
      <w:bookmarkStart w:id="1756" w:name="Tc_h-uxZVzRDkiv8Qcag6rCgQ_2_2"/>
      <w:bookmarkStart w:id="1757" w:name="Tc_XrY8ZLUMy0i4QDQZLEjA1g_1_6"/>
      <w:bookmarkStart w:id="1758" w:name="Tc_nnYhrEVlDU2sDoHbfQVpJg_1_2"/>
      <w:bookmarkStart w:id="1759" w:name="a25Financialexpense_30310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bookmarkEnd w:id="1748"/>
      <w:bookmarkEnd w:id="1749"/>
      <w:bookmarkEnd w:id="1750"/>
      <w:bookmarkEnd w:id="1751"/>
      <w:bookmarkEnd w:id="1752"/>
      <w:bookmarkEnd w:id="1753"/>
      <w:bookmarkEnd w:id="1754"/>
      <w:bookmarkEnd w:id="1755"/>
      <w:bookmarkEnd w:id="1756"/>
      <w:bookmarkEnd w:id="1757"/>
      <w:bookmarkEnd w:id="1758"/>
      <w:bookmarkEnd w:id="1759"/>
      <w:r>
        <w:rPr>
          <w:rFonts w:ascii="Times New Roman;Times;serif" w:hAnsi="Times New Roman;Times;serif"/>
          <w:b/>
          <w:i w:val="false"/>
          <w:caps w:val="false"/>
          <w:smallCaps w:val="false"/>
          <w:sz w:val="20"/>
        </w:rPr>
        <w:t>27.</w:t>
      </w:r>
      <w:r>
        <w:rPr>
          <w:rFonts w:ascii="Times New Roman;Times;serif" w:hAnsi="Times New Roman;Times;serif"/>
          <w:b/>
          <w:sz w:val="20"/>
        </w:rPr>
        <w:t>Financial expense</w:t>
      </w:r>
    </w:p>
    <w:p>
      <w:pPr>
        <w:pStyle w:val="TextBody"/>
        <w:bidi w:val="0"/>
        <w:spacing w:before="0" w:after="0"/>
        <w:ind w:left="0" w:right="0" w:hanging="0"/>
        <w:jc w:val="left"/>
        <w:rPr/>
      </w:pPr>
      <w:r>
        <w:rPr/>
        <w:t>​</w:t>
      </w:r>
    </w:p>
    <w:tbl>
      <w:tblPr>
        <w:tblW w:w="8929" w:type="dxa"/>
        <w:jc w:val="left"/>
        <w:tblInd w:w="0" w:type="dxa"/>
        <w:tblLayout w:type="fixed"/>
        <w:tblCellMar>
          <w:top w:w="0" w:type="dxa"/>
          <w:left w:w="0" w:type="dxa"/>
          <w:bottom w:w="0" w:type="dxa"/>
          <w:right w:w="0" w:type="dxa"/>
        </w:tblCellMar>
      </w:tblPr>
      <w:tblGrid>
        <w:gridCol w:w="4081"/>
        <w:gridCol w:w="346"/>
        <w:gridCol w:w="910"/>
        <w:gridCol w:w="466"/>
        <w:gridCol w:w="769"/>
        <w:gridCol w:w="346"/>
        <w:gridCol w:w="720"/>
        <w:gridCol w:w="436"/>
        <w:gridCol w:w="855"/>
      </w:tblGrid>
      <w:tr>
        <w:trPr/>
        <w:tc>
          <w:tcPr>
            <w:tcW w:w="4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2591435" cy="175260"/>
                      <wp:effectExtent l="0" t="0" r="0" b="0"/>
                      <wp:wrapNone/>
                      <wp:docPr id="439" name="Frame432"/>
                      <a:graphic xmlns:a="http://schemas.openxmlformats.org/drawingml/2006/main">
                        <a:graphicData uri="http://schemas.microsoft.com/office/word/2010/wordprocessingShape">
                          <wps:wsp>
                            <wps:cNvSpPr txBox="1"/>
                            <wps:spPr>
                              <a:xfrm>
                                <a:off x="0" y="0"/>
                                <a:ext cx="2591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19710" cy="175260"/>
                      <wp:effectExtent l="0" t="0" r="0" b="0"/>
                      <wp:wrapNone/>
                      <wp:docPr id="440" name="Frame4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577850" cy="175260"/>
                      <wp:effectExtent l="0" t="0" r="0" b="0"/>
                      <wp:wrapNone/>
                      <wp:docPr id="441" name="Frame434"/>
                      <a:graphic xmlns:a="http://schemas.openxmlformats.org/drawingml/2006/main">
                        <a:graphicData uri="http://schemas.microsoft.com/office/word/2010/wordprocessingShape">
                          <wps:wsp>
                            <wps:cNvSpPr txBox="1"/>
                            <wps:spPr>
                              <a:xfrm>
                                <a:off x="0" y="0"/>
                                <a:ext cx="5778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95910" cy="175260"/>
                      <wp:effectExtent l="0" t="0" r="0" b="0"/>
                      <wp:wrapNone/>
                      <wp:docPr id="442" name="Frame435"/>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88315" cy="175260"/>
                      <wp:effectExtent l="0" t="0" r="0" b="0"/>
                      <wp:wrapNone/>
                      <wp:docPr id="443" name="Frame436"/>
                      <a:graphic xmlns:a="http://schemas.openxmlformats.org/drawingml/2006/main">
                        <a:graphicData uri="http://schemas.microsoft.com/office/word/2010/wordprocessingShape">
                          <wps:wsp>
                            <wps:cNvSpPr txBox="1"/>
                            <wps:spPr>
                              <a:xfrm>
                                <a:off x="0" y="0"/>
                                <a:ext cx="4883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19710" cy="175260"/>
                      <wp:effectExtent l="0" t="0" r="0" b="0"/>
                      <wp:wrapNone/>
                      <wp:docPr id="444" name="Frame4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457200" cy="175260"/>
                      <wp:effectExtent l="0" t="0" r="0" b="0"/>
                      <wp:wrapNone/>
                      <wp:docPr id="445" name="Frame438"/>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276860" cy="175260"/>
                      <wp:effectExtent l="0" t="0" r="0" b="0"/>
                      <wp:wrapNone/>
                      <wp:docPr id="446" name="Frame439"/>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542925" cy="175260"/>
                      <wp:effectExtent l="0" t="0" r="0" b="0"/>
                      <wp:wrapNone/>
                      <wp:docPr id="447" name="Frame440"/>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4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center"/>
              <w:rPr/>
            </w:pPr>
            <w:r>
              <w:rPr/>
              <w:t>​</w:t>
            </w:r>
          </w:p>
        </w:tc>
        <w:tc>
          <w:tcPr>
            <w:tcW w:w="201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w:t>
            </w:r>
          </w:p>
        </w:tc>
      </w:tr>
      <w:tr>
        <w:trPr/>
        <w:tc>
          <w:tcPr>
            <w:tcW w:w="408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4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201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66" w:type="dxa"/>
            <w:tcBorders/>
            <w:vAlign w:val="center"/>
          </w:tcPr>
          <w:p>
            <w:pPr>
              <w:pStyle w:val="TableContents"/>
              <w:bidi w:val="0"/>
              <w:spacing w:before="0" w:after="0"/>
              <w:ind w:left="0" w:right="0" w:hanging="0"/>
              <w:jc w:val="center"/>
              <w:rPr/>
            </w:pPr>
            <w:r>
              <w:rPr/>
              <w:t>  ​ ​ ​</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6" w:type="dxa"/>
            <w:tcBorders/>
            <w:vAlign w:val="center"/>
          </w:tcPr>
          <w:p>
            <w:pPr>
              <w:pStyle w:val="TableContents"/>
              <w:bidi w:val="0"/>
              <w:spacing w:before="0" w:after="0"/>
              <w:ind w:left="0" w:right="0" w:hanging="0"/>
              <w:jc w:val="center"/>
              <w:rPr/>
            </w:pPr>
            <w:r>
              <w:rPr/>
              <w:t>  ​ ​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 convertible bond</w:t>
            </w:r>
          </w:p>
        </w:tc>
        <w:tc>
          <w:tcPr>
            <w:tcW w:w="34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7,697</w:t>
            </w:r>
          </w:p>
        </w:tc>
        <w:tc>
          <w:tcPr>
            <w:tcW w:w="46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2,601</w:t>
            </w:r>
          </w:p>
        </w:tc>
        <w:tc>
          <w:tcPr>
            <w:tcW w:w="436"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pPr>
            <w:r>
              <w:rPr/>
              <w:t>—</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day 1 loss convertible bond</w:t>
            </w:r>
          </w:p>
        </w:tc>
        <w:tc>
          <w:tcPr>
            <w:tcW w:w="346"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742</w:t>
            </w:r>
          </w:p>
        </w:tc>
        <w:tc>
          <w:tcPr>
            <w:tcW w:w="46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1,476</w:t>
            </w:r>
          </w:p>
        </w:tc>
        <w:tc>
          <w:tcPr>
            <w:tcW w:w="43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 synthetic warrants</w:t>
            </w:r>
          </w:p>
        </w:tc>
        <w:tc>
          <w:tcPr>
            <w:tcW w:w="346" w:type="dxa"/>
            <w:tcBorders/>
            <w:shd w:fill="CCEEFF" w:val="clear"/>
            <w:vAlign w:val="center"/>
          </w:tcPr>
          <w:p>
            <w:pPr>
              <w:pStyle w:val="TableContents"/>
              <w:bidi w:val="0"/>
              <w:spacing w:before="0" w:after="0"/>
              <w:ind w:left="0" w:right="0" w:hanging="0"/>
              <w:jc w:val="left"/>
              <w:rPr/>
            </w:pPr>
            <w:r>
              <w:rPr/>
              <w:t>​</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w:t>
            </w:r>
          </w:p>
        </w:tc>
        <w:tc>
          <w:tcPr>
            <w:tcW w:w="46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2,803</w:t>
            </w:r>
          </w:p>
        </w:tc>
        <w:tc>
          <w:tcPr>
            <w:tcW w:w="436"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adjustment prepayment option</w:t>
            </w:r>
          </w:p>
        </w:tc>
        <w:tc>
          <w:tcPr>
            <w:tcW w:w="346" w:type="dxa"/>
            <w:tcBorders/>
            <w:vAlign w:val="center"/>
          </w:tcPr>
          <w:p>
            <w:pPr>
              <w:pStyle w:val="TableContents"/>
              <w:bidi w:val="0"/>
              <w:spacing w:before="0" w:after="0"/>
              <w:ind w:left="0" w:right="0" w:hanging="0"/>
              <w:jc w:val="left"/>
              <w:rPr/>
            </w:pPr>
            <w:r>
              <w:rPr/>
              <w:t>​</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46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c>
          <w:tcPr>
            <w:tcW w:w="43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pPr>
            <w:r>
              <w:rPr/>
              <w:t>—</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Recoverable cash advances, Accretion of interest</w:t>
            </w:r>
          </w:p>
        </w:tc>
        <w:tc>
          <w:tcPr>
            <w:tcW w:w="34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46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w:t>
            </w:r>
          </w:p>
        </w:tc>
        <w:tc>
          <w:tcPr>
            <w:tcW w:w="34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w:t>
            </w:r>
          </w:p>
        </w:tc>
        <w:tc>
          <w:tcPr>
            <w:tcW w:w="436"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539</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bank charges</w:t>
            </w:r>
          </w:p>
        </w:tc>
        <w:tc>
          <w:tcPr>
            <w:tcW w:w="34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513</w:t>
            </w:r>
          </w:p>
        </w:tc>
        <w:tc>
          <w:tcPr>
            <w:tcW w:w="46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4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w:t>
            </w:r>
          </w:p>
        </w:tc>
        <w:tc>
          <w:tcPr>
            <w:tcW w:w="436"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761</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on lease liabilities</w:t>
            </w:r>
          </w:p>
        </w:tc>
        <w:tc>
          <w:tcPr>
            <w:tcW w:w="346" w:type="dxa"/>
            <w:tcBorders/>
            <w:shd w:fill="CCEEFF" w:val="clear"/>
            <w:vAlign w:val="center"/>
          </w:tcPr>
          <w:p>
            <w:pPr>
              <w:pStyle w:val="TableContents"/>
              <w:bidi w:val="0"/>
              <w:spacing w:before="0" w:after="0"/>
              <w:ind w:left="0" w:right="0" w:hanging="0"/>
              <w:jc w:val="left"/>
              <w:rPr/>
            </w:pPr>
            <w:r>
              <w:rPr/>
              <w:t> </w:t>
            </w:r>
          </w:p>
        </w:tc>
        <w:tc>
          <w:tcPr>
            <w:tcW w:w="91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c>
          <w:tcPr>
            <w:tcW w:w="466" w:type="dxa"/>
            <w:tcBorders/>
            <w:shd w:fill="CCEEFF" w:val="clear"/>
            <w:vAlign w:val="center"/>
          </w:tcPr>
          <w:p>
            <w:pPr>
              <w:pStyle w:val="TableContents"/>
              <w:bidi w:val="0"/>
              <w:spacing w:before="0" w:after="0"/>
              <w:ind w:left="0" w:right="0" w:hanging="0"/>
              <w:jc w:val="left"/>
              <w:rPr/>
            </w:pPr>
            <w:r>
              <w:rPr/>
              <w:t>​</w:t>
            </w:r>
          </w:p>
        </w:tc>
        <w:tc>
          <w:tcPr>
            <w:tcW w:w="7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c>
          <w:tcPr>
            <w:tcW w:w="34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w:t>
            </w:r>
          </w:p>
        </w:tc>
        <w:tc>
          <w:tcPr>
            <w:tcW w:w="436"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Exchange differences</w:t>
            </w:r>
          </w:p>
        </w:tc>
        <w:tc>
          <w:tcPr>
            <w:tcW w:w="346" w:type="dxa"/>
            <w:tcBorders/>
            <w:vAlign w:val="center"/>
          </w:tcPr>
          <w:p>
            <w:pPr>
              <w:pStyle w:val="TableContents"/>
              <w:bidi w:val="0"/>
              <w:spacing w:before="0" w:after="0"/>
              <w:ind w:left="0" w:right="0" w:hanging="0"/>
              <w:jc w:val="left"/>
              <w:rPr/>
            </w:pPr>
            <w:r>
              <w:rPr/>
              <w:t> </w:t>
            </w:r>
          </w:p>
        </w:tc>
        <w:tc>
          <w:tcPr>
            <w:tcW w:w="91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448</w:t>
            </w:r>
          </w:p>
        </w:tc>
        <w:tc>
          <w:tcPr>
            <w:tcW w:w="466" w:type="dxa"/>
            <w:tcBorders/>
            <w:vAlign w:val="center"/>
          </w:tcPr>
          <w:p>
            <w:pPr>
              <w:pStyle w:val="TableContents"/>
              <w:bidi w:val="0"/>
              <w:spacing w:before="0" w:after="0"/>
              <w:ind w:left="0" w:right="0" w:hanging="0"/>
              <w:jc w:val="left"/>
              <w:rPr/>
            </w:pPr>
            <w:r>
              <w:rPr/>
              <w:t>​</w:t>
            </w:r>
          </w:p>
        </w:tc>
        <w:tc>
          <w:tcPr>
            <w:tcW w:w="7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2,772</w:t>
            </w:r>
          </w:p>
        </w:tc>
        <w:tc>
          <w:tcPr>
            <w:tcW w:w="34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w:t>
            </w:r>
          </w:p>
        </w:tc>
        <w:tc>
          <w:tcPr>
            <w:tcW w:w="436"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6,141</w:t>
            </w:r>
          </w:p>
        </w:tc>
      </w:tr>
      <w:tr>
        <w:trPr/>
        <w:tc>
          <w:tcPr>
            <w:tcW w:w="40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before="0" w:after="0"/>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66" w:type="dxa"/>
            <w:tcBorders/>
            <w:shd w:fill="CCEEFF" w:val="clear"/>
            <w:vAlign w:val="center"/>
          </w:tcPr>
          <w:p>
            <w:pPr>
              <w:pStyle w:val="TableContents"/>
              <w:bidi w:val="0"/>
              <w:spacing w:before="0" w:after="0"/>
              <w:ind w:left="0" w:right="0" w:hanging="0"/>
              <w:jc w:val="left"/>
              <w:rPr/>
            </w:pPr>
            <w:r>
              <w:rPr/>
              <w:t>​</w:t>
            </w:r>
          </w:p>
        </w:tc>
        <w:tc>
          <w:tcPr>
            <w:tcW w:w="7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w:t>
            </w:r>
          </w:p>
        </w:tc>
        <w:tc>
          <w:tcPr>
            <w:tcW w:w="346" w:type="dxa"/>
            <w:tcBorders/>
            <w:shd w:fill="CCEEFF" w:val="cle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436" w:type="dxa"/>
            <w:tcBorders/>
            <w:shd w:fill="CCEEFF" w:val="cle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w:t>
            </w:r>
          </w:p>
        </w:tc>
      </w:tr>
      <w:tr>
        <w:trPr/>
        <w:tc>
          <w:tcPr>
            <w:tcW w:w="408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Financial expense</w:t>
            </w:r>
          </w:p>
        </w:tc>
        <w:tc>
          <w:tcPr>
            <w:tcW w:w="346" w:type="dxa"/>
            <w:tcBorders/>
            <w:vAlign w:val="center"/>
          </w:tcPr>
          <w:p>
            <w:pPr>
              <w:pStyle w:val="TableContents"/>
              <w:bidi w:val="0"/>
              <w:spacing w:before="0" w:after="0"/>
              <w:ind w:left="0" w:right="0" w:hanging="0"/>
              <w:jc w:val="left"/>
              <w:rPr/>
            </w:pPr>
            <w:r>
              <w:rPr/>
              <w:t> </w:t>
            </w:r>
          </w:p>
        </w:tc>
        <w:tc>
          <w:tcPr>
            <w:tcW w:w="91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13,078</w:t>
            </w:r>
          </w:p>
        </w:tc>
        <w:tc>
          <w:tcPr>
            <w:tcW w:w="466" w:type="dxa"/>
            <w:tcBorders/>
            <w:vAlign w:val="center"/>
          </w:tcPr>
          <w:p>
            <w:pPr>
              <w:pStyle w:val="TableContents"/>
              <w:bidi w:val="0"/>
              <w:spacing w:before="0" w:after="0"/>
              <w:ind w:left="0" w:right="0" w:hanging="0"/>
              <w:jc w:val="left"/>
              <w:rPr/>
            </w:pPr>
            <w:r>
              <w:rPr/>
              <w:t>​</w:t>
            </w:r>
          </w:p>
        </w:tc>
        <w:tc>
          <w:tcPr>
            <w:tcW w:w="7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3,337</w:t>
            </w:r>
          </w:p>
        </w:tc>
        <w:tc>
          <w:tcPr>
            <w:tcW w:w="346" w:type="dxa"/>
            <w:tcBorders/>
            <w:vAlign w:val="center"/>
          </w:tcPr>
          <w:p>
            <w:pPr>
              <w:pStyle w:val="TableContents"/>
              <w:bidi w:val="0"/>
              <w:spacing w:before="0" w:after="0"/>
              <w:ind w:left="0" w:right="0" w:hanging="0"/>
              <w:jc w:val="left"/>
              <w:rPr/>
            </w:pPr>
            <w:r>
              <w:rPr/>
              <w:t>​</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9,421</w:t>
            </w:r>
          </w:p>
        </w:tc>
        <w:tc>
          <w:tcPr>
            <w:tcW w:w="436" w:type="dxa"/>
            <w:tcBorders/>
            <w:vAlign w:val="center"/>
          </w:tcPr>
          <w:p>
            <w:pPr>
              <w:pStyle w:val="TableContents"/>
              <w:bidi w:val="0"/>
              <w:spacing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7,579</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financial expenses increased from €7.6 million for the six month period ended June 30, 2025 to €9.4 million for the six month period ended June 30, 2026 mainly due to an increase in fair value adjustment of the convertible bond by €2.6 million, amortization day 1 loss convertible bond €1.5 million, fair value adjustment synthetic warrants by €2.8 million partially offset by a decrease in exchange differences by €5.1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exchange losses amounting to €1.0 million for the six month period ended June 30, 2026 which consist of €489,000 realized exchange losses and €0.5 million unrealized exchange losses. The unrealized exchange result is mainly relate to the revaluation of both the Company’s USD cash balance and USD financial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discounting impact of the recoverable cash advances is further detailed in note 18 above.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fair value adjustments the prepayment option are related to the EIB loan facility agreement. More information can be found in note 18.2.</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More information on the amortization of the day 1 loss related to the convertible bond can be found in note 18.3.</w:t>
      </w:r>
    </w:p>
    <w:p>
      <w:pPr>
        <w:pStyle w:val="TextBody"/>
        <w:bidi w:val="0"/>
        <w:spacing w:before="0" w:after="240"/>
        <w:ind w:left="0" w:right="0" w:hanging="0"/>
        <w:jc w:val="left"/>
        <w:rPr>
          <w:rFonts w:ascii="Times New Roman;Times;serif" w:hAnsi="Times New Roman;Times;serif"/>
          <w:b/>
          <w:sz w:val="20"/>
        </w:rPr>
      </w:pPr>
      <w:bookmarkStart w:id="1760" w:name="a26LossPerShareEPS_240302"/>
      <w:bookmarkEnd w:id="1760"/>
      <w:r>
        <w:rPr>
          <w:rFonts w:ascii="Times New Roman;Times;serif" w:hAnsi="Times New Roman;Times;serif"/>
          <w:b/>
          <w:i w:val="false"/>
          <w:caps w:val="false"/>
          <w:smallCaps w:val="false"/>
          <w:sz w:val="20"/>
        </w:rPr>
        <w:t>28.</w:t>
      </w:r>
      <w:r>
        <w:rPr>
          <w:rFonts w:ascii="Times New Roman;Times;serif" w:hAnsi="Times New Roman;Times;serif"/>
          <w:b/>
          <w:sz w:val="20"/>
        </w:rPr>
        <w:t>Earnings/ (Loss) Per Share (EPS)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Basic Earnings Per Share and the Diluted Earnings Per Share are calculated by dividing earnings for the year by the weighted average number of shares outstanding during the year. As the Company is incurring net losses, outstanding warrants have no dilutive effect. As such, there is no difference between the Basic and Diluted EPS.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1761" w:name="Tc_T01Xw4M8Bk6onJwFD7J9zQ_7_0"/>
      <w:bookmarkStart w:id="1762" w:name="Tc_dL-frLG8zk-J3_TFPATOFw_6_0"/>
      <w:bookmarkStart w:id="1763" w:name="Tc_XLLYzE_VgUSINz9cQ4F31A_5_0"/>
      <w:bookmarkStart w:id="1764" w:name="Tc_Y-UFPdxeFkazlCPiJFAN6Q_4_0"/>
      <w:bookmarkStart w:id="1765" w:name="Tc_Z8KL9J6VPk2iVX__BOX0YA_3_8"/>
      <w:bookmarkStart w:id="1766" w:name="Tc_TPhO8-1xyku3RGvEo6mOJg_3_6"/>
      <w:bookmarkStart w:id="1767" w:name="Tc_Bu8a6dizeEypMX14gC0Csw_3_4"/>
      <w:bookmarkStart w:id="1768" w:name="Tc_e5BfHJJIVUK-MYz3K8s5PQ_3_2"/>
      <w:bookmarkStart w:id="1769" w:name="Tc_cid9PDZkZEaOMZRux6oajw_2_6"/>
      <w:bookmarkStart w:id="1770" w:name="Tc_W3rAXBg7qEe9I0Zyjk1jFw_2_2"/>
      <w:bookmarkStart w:id="1771" w:name="Tc_8lxxjTiniUaYak-KPzOT6w_1_6"/>
      <w:bookmarkStart w:id="1772" w:name="Tc_YfPFwslqrU-mraqykr95RQ_1_2"/>
      <w:bookmarkStart w:id="1773" w:name="Tc_agm9z5KXpE2oe6B3zy03OQ_8_8"/>
      <w:bookmarkStart w:id="1774" w:name="Tc_znqHZYR0V0Ol5tBqo2EyRA_8_4"/>
      <w:bookmarkStart w:id="1775" w:name="Tc_3Ov64yUQGUCybNrluhYutw_8_0"/>
      <w:bookmarkStart w:id="1776" w:name="Tc_6a6WiI7RNkCihEfG97W8xg_7_0"/>
      <w:bookmarkStart w:id="1777" w:name="Tc_kw7hrNkYZESums0SCO9oXg_6_0"/>
      <w:bookmarkStart w:id="1778" w:name="Tc_HFbYdLRxO0-b3BVSUZGNgg_5_0"/>
      <w:bookmarkStart w:id="1779" w:name="Tc_yFDSFGILKE2i-_tmbKdMhw_4_0"/>
      <w:bookmarkStart w:id="1780" w:name="Tc_hE8Sa2N3hUKek5qOftLE1A_3_8"/>
      <w:bookmarkStart w:id="1781" w:name="Tc_0Sk1Habzt0G415Z9bcMlEQ_3_6"/>
      <w:bookmarkStart w:id="1782" w:name="Tc_186BQuhVpkCz2r9kZ6tvQg_3_4"/>
      <w:bookmarkStart w:id="1783" w:name="Tc_G5I7EHGuLEWPG-fmC1YyXg_3_2"/>
      <w:bookmarkStart w:id="1784" w:name="Tc_cwhhOWBaMk6i-3eNYARgpw_2_6"/>
      <w:bookmarkStart w:id="1785" w:name="Tc_ltzgpW1JH0aShMuYA1XS6Q_2_2"/>
      <w:bookmarkStart w:id="1786" w:name="Tc_VvYb274GYk-Igy9AF73xvg_1_6"/>
      <w:bookmarkStart w:id="1787" w:name="Tc_yvdAhIH160CwvjlrEvOREg_1_2"/>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r>
        <w:rPr>
          <w:rFonts w:ascii="Times New Roman;Times;serif" w:hAnsi="Times New Roman;Times;serif"/>
          <w:sz w:val="20"/>
        </w:rPr>
        <w:t>EPS for June 2026 has been presented in the income statement taking into account resolutions adopted by the shareholders’ meeting of February 21, 2020. All existing preferred shares were converted into common shares, and then a share split of 500:1 was approved by the shareholders’ meeting.</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422"/>
        <w:gridCol w:w="346"/>
        <w:gridCol w:w="1141"/>
        <w:gridCol w:w="346"/>
        <w:gridCol w:w="1036"/>
        <w:gridCol w:w="346"/>
        <w:gridCol w:w="1141"/>
        <w:gridCol w:w="346"/>
        <w:gridCol w:w="1081"/>
      </w:tblGrid>
      <w:tr>
        <w:trPr/>
        <w:tc>
          <w:tcPr>
            <w:tcW w:w="44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807970" cy="175260"/>
                      <wp:effectExtent l="0" t="0" r="0" b="0"/>
                      <wp:wrapNone/>
                      <wp:docPr id="448" name="Frame441"/>
                      <a:graphic xmlns:a="http://schemas.openxmlformats.org/drawingml/2006/main">
                        <a:graphicData uri="http://schemas.microsoft.com/office/word/2010/wordprocessingShape">
                          <wps:wsp>
                            <wps:cNvSpPr txBox="1"/>
                            <wps:spPr>
                              <a:xfrm>
                                <a:off x="0" y="0"/>
                                <a:ext cx="2807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219710" cy="175260"/>
                      <wp:effectExtent l="0" t="0" r="0" b="0"/>
                      <wp:wrapNone/>
                      <wp:docPr id="449" name="Frame4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724535" cy="175260"/>
                      <wp:effectExtent l="0" t="0" r="0" b="0"/>
                      <wp:wrapNone/>
                      <wp:docPr id="450" name="Frame443"/>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219710" cy="175260"/>
                      <wp:effectExtent l="0" t="0" r="0" b="0"/>
                      <wp:wrapNone/>
                      <wp:docPr id="451" name="Frame4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657860" cy="175260"/>
                      <wp:effectExtent l="0" t="0" r="0" b="0"/>
                      <wp:wrapNone/>
                      <wp:docPr id="452" name="Frame44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4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724535" cy="175260"/>
                      <wp:effectExtent l="0" t="0" r="0" b="0"/>
                      <wp:wrapNone/>
                      <wp:docPr id="454" name="Frame44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219710" cy="175260"/>
                      <wp:effectExtent l="0" t="0" r="0" b="0"/>
                      <wp:wrapNone/>
                      <wp:docPr id="455" name="Frame4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686435" cy="175260"/>
                      <wp:effectExtent l="0" t="0" r="0" b="0"/>
                      <wp:wrapNone/>
                      <wp:docPr id="456" name="Frame449"/>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52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left"/>
              <w:rPr/>
            </w:pPr>
            <w:r>
              <w:rPr/>
              <w:t>​</w:t>
            </w:r>
          </w:p>
        </w:tc>
        <w:tc>
          <w:tcPr>
            <w:tcW w:w="256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44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52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left"/>
              <w:rPr/>
            </w:pPr>
            <w:r>
              <w:rPr/>
              <w:t>​</w:t>
            </w:r>
          </w:p>
        </w:tc>
        <w:tc>
          <w:tcPr>
            <w:tcW w:w="25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42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0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As at June 30, after conversion and share split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pPr>
            <w:r>
              <w:rPr/>
              <w:t>  ​</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common shares at period-end</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100,072,815</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37,435,640</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100,072,815</w:t>
            </w:r>
          </w:p>
        </w:tc>
        <w:tc>
          <w:tcPr>
            <w:tcW w:w="346" w:type="dxa"/>
            <w:tcBorders/>
            <w:vAlign w:val="center"/>
          </w:tcPr>
          <w:p>
            <w:pPr>
              <w:pStyle w:val="TableContents"/>
              <w:bidi w:val="0"/>
              <w:spacing w:before="0" w:after="0"/>
              <w:ind w:left="0" w:right="0" w:hanging="0"/>
              <w:jc w:val="left"/>
              <w:rPr/>
            </w:pPr>
            <w:r>
              <w:rPr/>
              <w:t> </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37,435,640</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57,012,745</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37,431,255</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50,125,593</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37,429,260</w:t>
            </w:r>
          </w:p>
        </w:tc>
      </w:tr>
      <w:tr>
        <w:trPr/>
        <w:tc>
          <w:tcPr>
            <w:tcW w:w="4422"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 number of shares resulting from the exercise of outstanding warrants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358,267</w:t>
            </w:r>
          </w:p>
        </w:tc>
        <w:tc>
          <w:tcPr>
            <w:tcW w:w="34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2,797,941</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358,267</w:t>
            </w:r>
          </w:p>
        </w:tc>
        <w:tc>
          <w:tcPr>
            <w:tcW w:w="346" w:type="dxa"/>
            <w:tcBorders/>
            <w:vAlign w:val="center"/>
          </w:tcPr>
          <w:p>
            <w:pPr>
              <w:pStyle w:val="TableContents"/>
              <w:bidi w:val="0"/>
              <w:spacing w:before="0" w:after="0"/>
              <w:ind w:left="0" w:right="0" w:hanging="0"/>
              <w:jc w:val="left"/>
              <w:rPr/>
            </w:pPr>
            <w:r>
              <w:rPr/>
              <w:t>​</w:t>
            </w:r>
          </w:p>
        </w:tc>
        <w:tc>
          <w:tcPr>
            <w:tcW w:w="10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2,797,941</w:t>
            </w:r>
          </w:p>
        </w:tc>
      </w:tr>
      <w:tr>
        <w:trPr/>
        <w:tc>
          <w:tcPr>
            <w:tcW w:w="442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Potential number of shares resulting from conversion of the bond</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13,723,765</w:t>
            </w:r>
          </w:p>
        </w:tc>
        <w:tc>
          <w:tcPr>
            <w:tcW w:w="34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13,723,765</w:t>
            </w:r>
          </w:p>
        </w:tc>
        <w:tc>
          <w:tcPr>
            <w:tcW w:w="346" w:type="dxa"/>
            <w:tcBorders/>
            <w:shd w:fill="CCEEFF" w:val="clear"/>
            <w:vAlign w:val="center"/>
          </w:tcPr>
          <w:p>
            <w:pPr>
              <w:pStyle w:val="TableContents"/>
              <w:bidi w:val="0"/>
              <w:spacing w:before="0" w:after="0"/>
              <w:ind w:left="0" w:right="0" w:hanging="0"/>
              <w:jc w:val="left"/>
              <w:rPr/>
            </w:pPr>
            <w:r>
              <w:rPr/>
              <w:t> </w:t>
            </w:r>
          </w:p>
        </w:tc>
        <w:tc>
          <w:tcPr>
            <w:tcW w:w="1081" w:type="dxa"/>
            <w:tcBorders/>
            <w:shd w:fill="CCEEFF" w:val="cle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and Diluted EPS for the three and six month period ended June 30, 2026 and 2025 based on weighted average number of shares outstanding after conversion and share split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223"/>
        <w:gridCol w:w="346"/>
        <w:gridCol w:w="1138"/>
        <w:gridCol w:w="346"/>
        <w:gridCol w:w="1138"/>
        <w:gridCol w:w="346"/>
        <w:gridCol w:w="1138"/>
        <w:gridCol w:w="346"/>
        <w:gridCol w:w="1184"/>
      </w:tblGrid>
      <w:tr>
        <w:trPr/>
        <w:tc>
          <w:tcPr>
            <w:tcW w:w="42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681605" cy="175260"/>
                      <wp:effectExtent l="0" t="0" r="0" b="0"/>
                      <wp:wrapNone/>
                      <wp:docPr id="457" name="Frame450"/>
                      <a:graphic xmlns:a="http://schemas.openxmlformats.org/drawingml/2006/main">
                        <a:graphicData uri="http://schemas.microsoft.com/office/word/2010/wordprocessingShape">
                          <wps:wsp>
                            <wps:cNvSpPr txBox="1"/>
                            <wps:spPr>
                              <a:xfrm>
                                <a:off x="0" y="0"/>
                                <a:ext cx="2681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19710" cy="175260"/>
                      <wp:effectExtent l="0" t="0" r="0" b="0"/>
                      <wp:wrapNone/>
                      <wp:docPr id="458" name="Frame4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722630" cy="175260"/>
                      <wp:effectExtent l="0" t="0" r="0" b="0"/>
                      <wp:wrapNone/>
                      <wp:docPr id="459" name="Frame452"/>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722630" cy="175260"/>
                      <wp:effectExtent l="0" t="0" r="0" b="0"/>
                      <wp:wrapNone/>
                      <wp:docPr id="461" name="Frame454"/>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19710" cy="175260"/>
                      <wp:effectExtent l="0" t="0" r="0" b="0"/>
                      <wp:wrapNone/>
                      <wp:docPr id="462" name="Frame45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722630" cy="175260"/>
                      <wp:effectExtent l="0" t="0" r="0" b="0"/>
                      <wp:wrapNone/>
                      <wp:docPr id="463" name="Frame456"/>
                      <a:graphic xmlns:a="http://schemas.openxmlformats.org/drawingml/2006/main">
                        <a:graphicData uri="http://schemas.microsoft.com/office/word/2010/wordprocessingShape">
                          <wps:wsp>
                            <wps:cNvSpPr txBox="1"/>
                            <wps:spPr>
                              <a:xfrm>
                                <a:off x="0" y="0"/>
                                <a:ext cx="7226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19710" cy="175260"/>
                      <wp:effectExtent l="0" t="0" r="0" b="0"/>
                      <wp:wrapNone/>
                      <wp:docPr id="464" name="Frame4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751840" cy="175260"/>
                      <wp:effectExtent l="0" t="0" r="0" b="0"/>
                      <wp:wrapNone/>
                      <wp:docPr id="465" name="Frame458"/>
                      <a:graphic xmlns:a="http://schemas.openxmlformats.org/drawingml/2006/main">
                        <a:graphicData uri="http://schemas.microsoft.com/office/word/2010/wordprocessingShape">
                          <wps:wsp>
                            <wps:cNvSpPr txBox="1"/>
                            <wps:spPr>
                              <a:xfrm>
                                <a:off x="0" y="0"/>
                                <a:ext cx="7518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22"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center"/>
              <w:rPr/>
            </w:pPr>
            <w:r>
              <w:rPr/>
              <w:t>​</w:t>
            </w:r>
          </w:p>
        </w:tc>
        <w:tc>
          <w:tcPr>
            <w:tcW w:w="266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w:t>
            </w:r>
          </w:p>
        </w:tc>
      </w:tr>
      <w:tr>
        <w:trPr/>
        <w:tc>
          <w:tcPr>
            <w:tcW w:w="4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622"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266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4223"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2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of year attributable to equity holders (in EUR)</w:t>
            </w:r>
          </w:p>
        </w:tc>
        <w:tc>
          <w:tcPr>
            <w:tcW w:w="346" w:type="dxa"/>
            <w:tcBorders/>
            <w:shd w:fill="CCEEFF" w:val="clear"/>
            <w:vAlign w:val="center"/>
          </w:tcPr>
          <w:p>
            <w:pPr>
              <w:pStyle w:val="TableContents"/>
              <w:bidi w:val="0"/>
              <w:spacing w:before="0" w:after="0"/>
              <w:ind w:left="0" w:right="0" w:hanging="0"/>
              <w:jc w:val="left"/>
              <w:rPr/>
            </w:pPr>
            <w:r>
              <w:rPr/>
              <w:t> </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(32,964,000)</w:t>
            </w:r>
          </w:p>
        </w:tc>
        <w:tc>
          <w:tcPr>
            <w:tcW w:w="346"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(20,607,000)</w:t>
            </w:r>
          </w:p>
        </w:tc>
        <w:tc>
          <w:tcPr>
            <w:tcW w:w="346"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(48,910,000)</w:t>
            </w:r>
          </w:p>
        </w:tc>
        <w:tc>
          <w:tcPr>
            <w:tcW w:w="346" w:type="dxa"/>
            <w:tcBorders/>
            <w:shd w:fill="CCEEFF" w:val="clear"/>
            <w:vAlign w:val="center"/>
          </w:tcPr>
          <w:p>
            <w:pPr>
              <w:pStyle w:val="TableContents"/>
              <w:bidi w:val="0"/>
              <w:spacing w:before="0" w:after="0"/>
              <w:ind w:left="0" w:right="0" w:hanging="0"/>
              <w:jc w:val="left"/>
              <w:rPr/>
            </w:pPr>
            <w:r>
              <w:rPr/>
              <w:t> </w:t>
            </w:r>
          </w:p>
        </w:tc>
        <w:tc>
          <w:tcPr>
            <w:tcW w:w="118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(42,991,000)</w:t>
            </w:r>
          </w:p>
        </w:tc>
      </w:tr>
      <w:tr>
        <w:trPr/>
        <w:tc>
          <w:tcPr>
            <w:tcW w:w="42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number of common shares outstanding (in units)</w:t>
            </w:r>
          </w:p>
        </w:tc>
        <w:tc>
          <w:tcPr>
            <w:tcW w:w="346" w:type="dxa"/>
            <w:tcBorders/>
            <w:vAlign w:val="center"/>
          </w:tcPr>
          <w:p>
            <w:pPr>
              <w:pStyle w:val="TableContents"/>
              <w:bidi w:val="0"/>
              <w:spacing w:before="0" w:after="0"/>
              <w:ind w:left="0" w:right="0" w:hanging="0"/>
              <w:jc w:val="left"/>
              <w:rPr/>
            </w:pPr>
            <w:r>
              <w:rPr/>
              <w:t> </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57,012,745</w:t>
            </w:r>
          </w:p>
        </w:tc>
        <w:tc>
          <w:tcPr>
            <w:tcW w:w="346" w:type="dxa"/>
            <w:tcBorders/>
            <w:vAlign w:val="center"/>
          </w:tcPr>
          <w:p>
            <w:pPr>
              <w:pStyle w:val="TableContents"/>
              <w:bidi w:val="0"/>
              <w:spacing w:before="0" w:after="0"/>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37,431,255</w:t>
            </w:r>
          </w:p>
        </w:tc>
        <w:tc>
          <w:tcPr>
            <w:tcW w:w="346" w:type="dxa"/>
            <w:tcBorders/>
            <w:vAlign w:val="center"/>
          </w:tcPr>
          <w:p>
            <w:pPr>
              <w:pStyle w:val="TableContents"/>
              <w:bidi w:val="0"/>
              <w:spacing w:before="0" w:after="0"/>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50,125,593</w:t>
            </w:r>
          </w:p>
        </w:tc>
        <w:tc>
          <w:tcPr>
            <w:tcW w:w="346" w:type="dxa"/>
            <w:tcBorders/>
            <w:vAlign w:val="center"/>
          </w:tcPr>
          <w:p>
            <w:pPr>
              <w:pStyle w:val="TableContents"/>
              <w:bidi w:val="0"/>
              <w:spacing w:before="0" w:after="0"/>
              <w:ind w:left="0" w:right="0" w:hanging="0"/>
              <w:jc w:val="left"/>
              <w:rPr/>
            </w:pPr>
            <w:r>
              <w:rPr/>
              <w:t> </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37,429,260</w:t>
            </w:r>
          </w:p>
        </w:tc>
      </w:tr>
      <w:tr>
        <w:trPr/>
        <w:tc>
          <w:tcPr>
            <w:tcW w:w="422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 in EUR (EUR/unit)</w:t>
            </w:r>
          </w:p>
        </w:tc>
        <w:tc>
          <w:tcPr>
            <w:tcW w:w="346" w:type="dxa"/>
            <w:tcBorders/>
            <w:shd w:fill="CCEEFF" w:val="clear"/>
            <w:vAlign w:val="center"/>
          </w:tcPr>
          <w:p>
            <w:pPr>
              <w:pStyle w:val="TableContents"/>
              <w:bidi w:val="0"/>
              <w:spacing w:before="0" w:after="0"/>
              <w:ind w:left="0" w:right="0" w:hanging="0"/>
              <w:jc w:val="left"/>
              <w:rPr/>
            </w:pPr>
            <w:r>
              <w:rPr/>
              <w:t> </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(0.578)</w:t>
            </w:r>
          </w:p>
        </w:tc>
        <w:tc>
          <w:tcPr>
            <w:tcW w:w="346" w:type="dxa"/>
            <w:tcBorders/>
            <w:shd w:fill="CCEEFF" w:val="cle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(0.551)</w:t>
            </w:r>
          </w:p>
        </w:tc>
        <w:tc>
          <w:tcPr>
            <w:tcW w:w="346" w:type="dxa"/>
            <w:tcBorders/>
            <w:shd w:fill="CCEEFF" w:val="cle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(0.976)</w:t>
            </w:r>
          </w:p>
        </w:tc>
        <w:tc>
          <w:tcPr>
            <w:tcW w:w="346" w:type="dxa"/>
            <w:tcBorders/>
            <w:shd w:fill="CCEEFF" w:val="clear"/>
            <w:vAlign w:val="center"/>
          </w:tcPr>
          <w:p>
            <w:pPr>
              <w:pStyle w:val="TableContents"/>
              <w:bidi w:val="0"/>
              <w:spacing w:before="0" w:after="0"/>
              <w:ind w:left="0" w:right="0" w:hanging="0"/>
              <w:jc w:val="left"/>
              <w:rPr/>
            </w:pPr>
            <w:r>
              <w:rPr/>
              <w:t> </w:t>
            </w:r>
          </w:p>
        </w:tc>
        <w:tc>
          <w:tcPr>
            <w:tcW w:w="11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r>
        <w:trPr/>
        <w:tc>
          <w:tcPr>
            <w:tcW w:w="422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 in EUR (EUR/unit)</w:t>
            </w:r>
          </w:p>
        </w:tc>
        <w:tc>
          <w:tcPr>
            <w:tcW w:w="346" w:type="dxa"/>
            <w:tcBorders/>
            <w:vAlign w:val="center"/>
          </w:tcPr>
          <w:p>
            <w:pPr>
              <w:pStyle w:val="TableContents"/>
              <w:bidi w:val="0"/>
              <w:spacing w:before="0" w:after="0"/>
              <w:ind w:left="0" w:right="0" w:hanging="0"/>
              <w:jc w:val="left"/>
              <w:rPr/>
            </w:pPr>
            <w:r>
              <w:rPr/>
              <w:t> </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(0.578)</w:t>
            </w:r>
          </w:p>
        </w:tc>
        <w:tc>
          <w:tcPr>
            <w:tcW w:w="346" w:type="dxa"/>
            <w:tcBorders/>
            <w:vAlign w:val="center"/>
          </w:tcPr>
          <w:p>
            <w:pPr>
              <w:pStyle w:val="TableContents"/>
              <w:bidi w:val="0"/>
              <w:spacing w:before="0" w:after="0"/>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(0.551)</w:t>
            </w:r>
          </w:p>
        </w:tc>
        <w:tc>
          <w:tcPr>
            <w:tcW w:w="346" w:type="dxa"/>
            <w:tcBorders/>
            <w:vAlign w:val="center"/>
          </w:tcPr>
          <w:p>
            <w:pPr>
              <w:pStyle w:val="TableContents"/>
              <w:bidi w:val="0"/>
              <w:spacing w:before="0" w:after="0"/>
              <w:ind w:left="0" w:right="0" w:hanging="0"/>
              <w:jc w:val="left"/>
              <w:rPr/>
            </w:pPr>
            <w:r>
              <w:rPr/>
              <w:t>​</w:t>
            </w:r>
          </w:p>
        </w:tc>
        <w:tc>
          <w:tcPr>
            <w:tcW w:w="113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(0.976)</w:t>
            </w:r>
          </w:p>
        </w:tc>
        <w:tc>
          <w:tcPr>
            <w:tcW w:w="346" w:type="dxa"/>
            <w:tcBorders/>
            <w:vAlign w:val="center"/>
          </w:tcPr>
          <w:p>
            <w:pPr>
              <w:pStyle w:val="TableContents"/>
              <w:bidi w:val="0"/>
              <w:spacing w:before="0" w:after="0"/>
              <w:ind w:left="0" w:right="0" w:hanging="0"/>
              <w:jc w:val="left"/>
              <w:rPr/>
            </w:pPr>
            <w:r>
              <w:rPr/>
              <w:t> </w:t>
            </w:r>
          </w:p>
        </w:tc>
        <w:tc>
          <w:tcPr>
            <w:tcW w:w="118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788" w:name="a27Othercommitments_147572"/>
      <w:bookmarkEnd w:id="1788"/>
      <w:r>
        <w:rPr>
          <w:rFonts w:ascii="Times New Roman;Times;serif" w:hAnsi="Times New Roman;Times;serif"/>
          <w:b/>
          <w:i w:val="false"/>
          <w:caps w:val="false"/>
          <w:smallCaps w:val="false"/>
          <w:sz w:val="20"/>
        </w:rPr>
        <w:t>29.</w:t>
      </w:r>
      <w:r>
        <w:rPr>
          <w:rFonts w:ascii="Times New Roman;Times;serif" w:hAnsi="Times New Roman;Times;serif"/>
          <w:b/>
          <w:sz w:val="20"/>
        </w:rPr>
        <w:t>Other commitments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new commitments as per June 30, 2026.</w:t>
      </w:r>
    </w:p>
    <w:p>
      <w:pPr>
        <w:pStyle w:val="TextBody"/>
        <w:bidi w:val="0"/>
        <w:spacing w:before="0" w:after="240"/>
        <w:ind w:left="0" w:right="0" w:hanging="0"/>
        <w:jc w:val="left"/>
        <w:rPr>
          <w:rFonts w:ascii="Times New Roman;Times;serif" w:hAnsi="Times New Roman;Times;serif"/>
          <w:b/>
          <w:sz w:val="20"/>
        </w:rPr>
      </w:pPr>
      <w:bookmarkStart w:id="1789" w:name="Tc_MD6xj060H0yrQKN2tbgnjw_7_0"/>
      <w:bookmarkStart w:id="1790" w:name="Tc_JNrqp9ZtH0uaDy659j3kNg_6_0"/>
      <w:bookmarkStart w:id="1791" w:name="Tc_gq6CDaR6CU2dXovO4cpX4g_5_0"/>
      <w:bookmarkStart w:id="1792" w:name="Tc_9DruiPuYf0OqIlY5_TnA0g_4_0"/>
      <w:bookmarkStart w:id="1793" w:name="Tc_-Z5vjvChRkmILmuVSKRINg_3_8"/>
      <w:bookmarkStart w:id="1794" w:name="Tc_bdf8vf159kCZkSmj63xaTQ_3_6"/>
      <w:bookmarkStart w:id="1795" w:name="Tc_wOkPlw30wUeWjlVuKFwwrw_3_4"/>
      <w:bookmarkStart w:id="1796" w:name="Tc_dnkx4Xh52ESFDNiVBPhAFw_3_2"/>
      <w:bookmarkStart w:id="1797" w:name="Tc_Ep959-R-ikKaDu3bGcKp_A_3_0"/>
      <w:bookmarkStart w:id="1798" w:name="Tc_nRShVFGgLkiYfF5UVQi3Vw_2_6"/>
      <w:bookmarkStart w:id="1799" w:name="Tc_Vox2TluUZEW7fuKbta7T3g_2_2"/>
      <w:bookmarkStart w:id="1800" w:name="Tc_WM5yD4AMoE-yqIRMY8b4qQ_1_6"/>
      <w:bookmarkStart w:id="1801" w:name="Tc_S4v5ajMhUUicjCKT2FZrng_1_2"/>
      <w:bookmarkStart w:id="1802" w:name="_a8ae38f0_79a9_4339_a2ab_fa8e05e53753"/>
      <w:bookmarkStart w:id="1803" w:name="a28RelatedPartyTransactions_914488"/>
      <w:bookmarkEnd w:id="1789"/>
      <w:bookmarkEnd w:id="1790"/>
      <w:bookmarkEnd w:id="1791"/>
      <w:bookmarkEnd w:id="1792"/>
      <w:bookmarkEnd w:id="1793"/>
      <w:bookmarkEnd w:id="1794"/>
      <w:bookmarkEnd w:id="1795"/>
      <w:bookmarkEnd w:id="1796"/>
      <w:bookmarkEnd w:id="1797"/>
      <w:bookmarkEnd w:id="1798"/>
      <w:bookmarkEnd w:id="1799"/>
      <w:bookmarkEnd w:id="1800"/>
      <w:bookmarkEnd w:id="1801"/>
      <w:bookmarkEnd w:id="1802"/>
      <w:bookmarkEnd w:id="1803"/>
      <w:r>
        <w:rPr>
          <w:rFonts w:ascii="Times New Roman;Times;serif" w:hAnsi="Times New Roman;Times;serif"/>
          <w:b/>
          <w:i w:val="false"/>
          <w:caps w:val="false"/>
          <w:smallCaps w:val="false"/>
          <w:sz w:val="20"/>
        </w:rPr>
        <w:t>30.</w:t>
      </w:r>
      <w:r>
        <w:rPr>
          <w:rFonts w:ascii="Times New Roman;Times;serif" w:hAnsi="Times New Roman;Times;serif"/>
          <w:b/>
          <w:sz w:val="20"/>
        </w:rPr>
        <w:t>Related Party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Transactions between the Company and its subsidiaries have been eliminated in consolidation and are not disclosed in the notes. Related party transactions are disclosed below.</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30.1.  Remuneration of Key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Key management comprised of the members of executive management which consists of the Chief Executive Officer (CEO), the Chief Financial Officer (CFO), the Chief Commercial Officer (CCO) and the Chief Technology Officer (CTO) of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period ended June 30, 2026 and June 30, 2025, the table below includes the remuneration package of all members of executive management.</w:t>
      </w:r>
    </w:p>
    <w:p>
      <w:pPr>
        <w:pStyle w:val="TextBody"/>
        <w:bidi w:val="0"/>
        <w:spacing w:before="0" w:after="0"/>
        <w:ind w:left="0" w:right="0" w:hanging="0"/>
        <w:jc w:val="left"/>
        <w:rPr/>
      </w:pPr>
      <w:r>
        <w:rPr/>
        <w:t>​</w:t>
      </w:r>
    </w:p>
    <w:tbl>
      <w:tblPr>
        <w:tblW w:w="8599" w:type="dxa"/>
        <w:jc w:val="left"/>
        <w:tblInd w:w="0" w:type="dxa"/>
        <w:tblLayout w:type="fixed"/>
        <w:tblCellMar>
          <w:top w:w="0" w:type="dxa"/>
          <w:left w:w="0" w:type="dxa"/>
          <w:bottom w:w="0" w:type="dxa"/>
          <w:right w:w="0" w:type="dxa"/>
        </w:tblCellMar>
      </w:tblPr>
      <w:tblGrid>
        <w:gridCol w:w="3751"/>
        <w:gridCol w:w="346"/>
        <w:gridCol w:w="886"/>
        <w:gridCol w:w="536"/>
        <w:gridCol w:w="723"/>
        <w:gridCol w:w="346"/>
        <w:gridCol w:w="720"/>
        <w:gridCol w:w="436"/>
        <w:gridCol w:w="855"/>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381885" cy="175260"/>
                      <wp:effectExtent l="0" t="0" r="0" b="0"/>
                      <wp:wrapNone/>
                      <wp:docPr id="466" name="Frame459"/>
                      <a:graphic xmlns:a="http://schemas.openxmlformats.org/drawingml/2006/main">
                        <a:graphicData uri="http://schemas.microsoft.com/office/word/2010/wordprocessingShape">
                          <wps:wsp>
                            <wps:cNvSpPr txBox="1"/>
                            <wps:spPr>
                              <a:xfrm>
                                <a:off x="0" y="0"/>
                                <a:ext cx="238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19710" cy="175260"/>
                      <wp:effectExtent l="0" t="0" r="0" b="0"/>
                      <wp:wrapNone/>
                      <wp:docPr id="467"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562610" cy="175260"/>
                      <wp:effectExtent l="0" t="0" r="0" b="0"/>
                      <wp:wrapNone/>
                      <wp:docPr id="468" name="Frame46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340360" cy="175260"/>
                      <wp:effectExtent l="0" t="0" r="0" b="0"/>
                      <wp:wrapNone/>
                      <wp:docPr id="469" name="Frame462"/>
                      <a:graphic xmlns:a="http://schemas.openxmlformats.org/drawingml/2006/main">
                        <a:graphicData uri="http://schemas.microsoft.com/office/word/2010/wordprocessingShape">
                          <wps:wsp>
                            <wps:cNvSpPr txBox="1"/>
                            <wps:spPr>
                              <a:xfrm>
                                <a:off x="0" y="0"/>
                                <a:ext cx="340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459105" cy="175260"/>
                      <wp:effectExtent l="0" t="0" r="0" b="0"/>
                      <wp:wrapNone/>
                      <wp:docPr id="470" name="Frame463"/>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219710" cy="175260"/>
                      <wp:effectExtent l="0" t="0" r="0" b="0"/>
                      <wp:wrapNone/>
                      <wp:docPr id="471" name="Frame4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57200" cy="175260"/>
                      <wp:effectExtent l="0" t="0" r="0" b="0"/>
                      <wp:wrapNone/>
                      <wp:docPr id="472" name="Frame46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276860" cy="175260"/>
                      <wp:effectExtent l="0" t="0" r="0" b="0"/>
                      <wp:wrapNone/>
                      <wp:docPr id="473" name="Frame466"/>
                      <a:graphic xmlns:a="http://schemas.openxmlformats.org/drawingml/2006/main">
                        <a:graphicData uri="http://schemas.microsoft.com/office/word/2010/wordprocessingShape">
                          <wps:wsp>
                            <wps:cNvSpPr txBox="1"/>
                            <wps:spPr>
                              <a:xfrm>
                                <a:off x="0" y="0"/>
                                <a:ext cx="276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542925" cy="175260"/>
                      <wp:effectExtent l="0" t="0" r="0" b="0"/>
                      <wp:wrapNone/>
                      <wp:docPr id="474" name="Frame467"/>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4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c>
          <w:tcPr>
            <w:tcW w:w="346" w:type="dxa"/>
            <w:tcBorders/>
            <w:vAlign w:val="center"/>
          </w:tcPr>
          <w:p>
            <w:pPr>
              <w:pStyle w:val="TableContents"/>
              <w:bidi w:val="0"/>
              <w:spacing w:before="0" w:after="0"/>
              <w:ind w:left="0" w:right="0" w:hanging="0"/>
              <w:jc w:val="center"/>
              <w:rPr/>
            </w:pPr>
            <w:r>
              <w:rPr/>
              <w:t>​</w:t>
            </w:r>
          </w:p>
        </w:tc>
        <w:tc>
          <w:tcPr>
            <w:tcW w:w="2011"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 </w:t>
            </w:r>
          </w:p>
        </w:tc>
      </w:tr>
      <w:tr>
        <w:trPr/>
        <w:tc>
          <w:tcPr>
            <w:tcW w:w="375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4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0"/>
              <w:ind w:left="0" w:right="0" w:hanging="0"/>
              <w:jc w:val="center"/>
              <w:rPr/>
            </w:pPr>
            <w:r>
              <w:rPr/>
              <w:t>​</w:t>
            </w:r>
          </w:p>
        </w:tc>
        <w:tc>
          <w:tcPr>
            <w:tcW w:w="201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75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36" w:type="dxa"/>
            <w:tcBorders/>
            <w:vAlign w:val="center"/>
          </w:tcPr>
          <w:p>
            <w:pPr>
              <w:pStyle w:val="TableContents"/>
              <w:bidi w:val="0"/>
              <w:spacing w:before="0" w:after="0"/>
              <w:ind w:left="0" w:right="0" w:hanging="0"/>
              <w:jc w:val="center"/>
              <w:rPr/>
            </w:pPr>
            <w:r>
              <w:rPr/>
              <w:t>  ​ ​ ​</w:t>
            </w:r>
          </w:p>
        </w:tc>
        <w:tc>
          <w:tcPr>
            <w:tcW w:w="72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36" w:type="dxa"/>
            <w:tcBorders/>
            <w:vAlign w:val="center"/>
          </w:tcPr>
          <w:p>
            <w:pPr>
              <w:pStyle w:val="TableContents"/>
              <w:bidi w:val="0"/>
              <w:spacing w:before="0" w:after="0"/>
              <w:ind w:left="0" w:right="0" w:hanging="0"/>
              <w:jc w:val="center"/>
              <w:rPr/>
            </w:pPr>
            <w:r>
              <w:rPr/>
              <w:t>  ​ ​ ​</w:t>
            </w:r>
          </w:p>
        </w:tc>
        <w:tc>
          <w:tcPr>
            <w:tcW w:w="8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7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remuneration &amp; compensation (1)</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536" w:type="dxa"/>
            <w:tcBorders/>
            <w:shd w:fill="CCEEFF" w:val="clear"/>
            <w:vAlign w:val="center"/>
          </w:tcPr>
          <w:p>
            <w:pPr>
              <w:pStyle w:val="TableContents"/>
              <w:bidi w:val="0"/>
              <w:spacing w:before="0" w:after="0"/>
              <w:ind w:left="0" w:right="0" w:hanging="0"/>
              <w:jc w:val="left"/>
              <w:rPr/>
            </w:pPr>
            <w:r>
              <w:rPr/>
              <w:t>​</w:t>
            </w:r>
          </w:p>
        </w:tc>
        <w:tc>
          <w:tcPr>
            <w:tcW w:w="7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w:t>
            </w:r>
          </w:p>
        </w:tc>
        <w:tc>
          <w:tcPr>
            <w:tcW w:w="346"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1,140</w:t>
            </w:r>
          </w:p>
        </w:tc>
        <w:tc>
          <w:tcPr>
            <w:tcW w:w="436" w:type="dxa"/>
            <w:tcBorders/>
            <w:shd w:fill="CCEEFF" w:val="clear"/>
            <w:vAlign w:val="center"/>
          </w:tcPr>
          <w:p>
            <w:pPr>
              <w:pStyle w:val="TableContents"/>
              <w:bidi w:val="0"/>
              <w:spacing w:before="0" w:after="0"/>
              <w:ind w:left="0" w:right="0" w:hanging="0"/>
              <w:jc w:val="left"/>
              <w:rPr/>
            </w:pPr>
            <w:r>
              <w:rPr/>
              <w:t> </w:t>
            </w:r>
          </w:p>
        </w:tc>
        <w:tc>
          <w:tcPr>
            <w:tcW w:w="8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1,425</w:t>
            </w:r>
          </w:p>
        </w:tc>
      </w:tr>
      <w:tr>
        <w:trPr/>
        <w:tc>
          <w:tcPr>
            <w:tcW w:w="3751"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Post-employment benefits</w:t>
            </w:r>
          </w:p>
        </w:tc>
        <w:tc>
          <w:tcPr>
            <w:tcW w:w="34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c>
          <w:tcPr>
            <w:tcW w:w="53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36" w:type="dxa"/>
            <w:tcBorders/>
            <w:vAlign w:val="center"/>
          </w:tcPr>
          <w:p>
            <w:pPr>
              <w:pStyle w:val="TableContents"/>
              <w:bidi w:val="0"/>
              <w:spacing w:before="0" w:after="0"/>
              <w:ind w:left="0" w:right="0" w:hanging="0"/>
              <w:jc w:val="left"/>
              <w:rPr/>
            </w:pPr>
            <w:r>
              <w:rPr/>
              <w:t>​</w:t>
            </w:r>
          </w:p>
        </w:tc>
        <w:tc>
          <w:tcPr>
            <w:tcW w:w="8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75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based payment (2)</w:t>
            </w:r>
          </w:p>
        </w:tc>
        <w:tc>
          <w:tcPr>
            <w:tcW w:w="34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w:t>
            </w:r>
          </w:p>
        </w:tc>
        <w:tc>
          <w:tcPr>
            <w:tcW w:w="536" w:type="dxa"/>
            <w:tcBorders/>
            <w:shd w:fill="CCEEFF" w:val="clear"/>
            <w:vAlign w:val="center"/>
          </w:tcPr>
          <w:p>
            <w:pPr>
              <w:pStyle w:val="TableContents"/>
              <w:bidi w:val="0"/>
              <w:spacing w:before="0" w:after="0"/>
              <w:ind w:left="0" w:right="0" w:hanging="0"/>
              <w:jc w:val="left"/>
              <w:rPr/>
            </w:pPr>
            <w:r>
              <w:rPr/>
              <w:t>​</w:t>
            </w:r>
          </w:p>
        </w:tc>
        <w:tc>
          <w:tcPr>
            <w:tcW w:w="7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46" w:type="dxa"/>
            <w:tcBorders/>
            <w:shd w:fill="CCEEFF" w:val="cle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904</w:t>
            </w:r>
          </w:p>
        </w:tc>
        <w:tc>
          <w:tcPr>
            <w:tcW w:w="436" w:type="dxa"/>
            <w:tcBorders/>
            <w:shd w:fill="CCEEFF" w:val="clear"/>
            <w:vAlign w:val="center"/>
          </w:tcPr>
          <w:p>
            <w:pPr>
              <w:pStyle w:val="TableContents"/>
              <w:bidi w:val="0"/>
              <w:spacing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w:t>
            </w:r>
          </w:p>
        </w:tc>
      </w:tr>
      <w:tr>
        <w:trPr/>
        <w:tc>
          <w:tcPr>
            <w:tcW w:w="3751"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1,343</w:t>
            </w:r>
          </w:p>
        </w:tc>
        <w:tc>
          <w:tcPr>
            <w:tcW w:w="536" w:type="dxa"/>
            <w:tcBorders/>
            <w:vAlign w:val="center"/>
          </w:tcPr>
          <w:p>
            <w:pPr>
              <w:pStyle w:val="TableContents"/>
              <w:bidi w:val="0"/>
              <w:spacing w:before="0" w:after="0"/>
              <w:ind w:left="0" w:right="0" w:hanging="0"/>
              <w:jc w:val="left"/>
              <w:rPr/>
            </w:pPr>
            <w:r>
              <w:rPr/>
              <w:t>​</w:t>
            </w:r>
          </w:p>
        </w:tc>
        <w:tc>
          <w:tcPr>
            <w:tcW w:w="723"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994</w:t>
            </w:r>
          </w:p>
        </w:tc>
        <w:tc>
          <w:tcPr>
            <w:tcW w:w="346" w:type="dxa"/>
            <w:tcBorders/>
            <w:vAlign w:val="center"/>
          </w:tcPr>
          <w:p>
            <w:pPr>
              <w:pStyle w:val="TableContents"/>
              <w:bidi w:val="0"/>
              <w:spacing w:before="0" w:after="0"/>
              <w:ind w:left="0" w:right="0" w:hanging="0"/>
              <w:jc w:val="left"/>
              <w:rPr/>
            </w:pPr>
            <w:r>
              <w:rPr/>
              <w:t>​</w:t>
            </w:r>
          </w:p>
        </w:tc>
        <w:tc>
          <w:tcPr>
            <w:tcW w:w="72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2,083</w:t>
            </w:r>
          </w:p>
        </w:tc>
        <w:tc>
          <w:tcPr>
            <w:tcW w:w="436" w:type="dxa"/>
            <w:tcBorders/>
            <w:vAlign w:val="center"/>
          </w:tcPr>
          <w:p>
            <w:pPr>
              <w:pStyle w:val="TableContents"/>
              <w:bidi w:val="0"/>
              <w:spacing w:before="0" w:after="0"/>
              <w:ind w:left="0" w:right="0" w:hanging="0"/>
              <w:jc w:val="left"/>
              <w:rPr/>
            </w:pPr>
            <w:r>
              <w:rPr/>
              <w:t> </w:t>
            </w:r>
          </w:p>
        </w:tc>
        <w:tc>
          <w:tcPr>
            <w:tcW w:w="855" w:type="dxa"/>
            <w:tcBorders/>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2,014</w:t>
            </w:r>
          </w:p>
        </w:tc>
      </w:tr>
    </w:tbl>
    <w:tbl>
      <w:tblPr>
        <w:tblW w:w="10205" w:type="dxa"/>
        <w:jc w:val="left"/>
        <w:tblInd w:w="0" w:type="dxa"/>
        <w:tblLayout w:type="fixed"/>
        <w:tblCellMar>
          <w:top w:w="0" w:type="dxa"/>
          <w:left w:w="0" w:type="dxa"/>
          <w:bottom w:w="0" w:type="dxa"/>
          <w:right w:w="0" w:type="dxa"/>
        </w:tblCellMar>
      </w:tblPr>
      <w:tblGrid>
        <w:gridCol w:w="337"/>
        <w:gridCol w:w="9868"/>
      </w:tblGrid>
      <w:tr>
        <w:trPr/>
        <w:tc>
          <w:tcPr>
            <w:tcW w:w="33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86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Includes base remuneration, fringe benefits, short term (one-year) performance related bonus (i.e. variable remuneration), sign-on bonuses.</w:t>
            </w:r>
          </w:p>
        </w:tc>
      </w:tr>
    </w:tbl>
    <w:tbl>
      <w:tblPr>
        <w:tblW w:w="3002" w:type="dxa"/>
        <w:jc w:val="left"/>
        <w:tblInd w:w="0" w:type="dxa"/>
        <w:tblLayout w:type="fixed"/>
        <w:tblCellMar>
          <w:top w:w="0" w:type="dxa"/>
          <w:left w:w="0" w:type="dxa"/>
          <w:bottom w:w="0" w:type="dxa"/>
          <w:right w:w="0" w:type="dxa"/>
        </w:tblCellMar>
      </w:tblPr>
      <w:tblGrid>
        <w:gridCol w:w="346"/>
        <w:gridCol w:w="2656"/>
      </w:tblGrid>
      <w:tr>
        <w:trPr/>
        <w:tc>
          <w:tcPr>
            <w:tcW w:w="34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265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Warrant expense under IFRS 2.</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1804" w:name="Tc_--TIKv0SaUOXBqXkzb6ugw_14_6"/>
      <w:bookmarkStart w:id="1805" w:name="Tc_x7tVScfA4kGWpvGNrJMMhw_14_2"/>
      <w:bookmarkStart w:id="1806" w:name="Tc_dyJAaddtzE-L4AWuToE8gw_14_0"/>
      <w:bookmarkStart w:id="1807" w:name="Tc_KCsCHk1jtU-G_V3I-RBdIw_13_6"/>
      <w:bookmarkStart w:id="1808" w:name="Tc_Sdm4sMyzT02KK546vZAOAg_13_2"/>
      <w:bookmarkStart w:id="1809" w:name="Tc_qHdXq5a2tESaDFmc16HU_g_13_0"/>
      <w:bookmarkStart w:id="1810" w:name="Tc_6yX9s4zD3USxf2fAlWUiHQ_12_6"/>
      <w:bookmarkStart w:id="1811" w:name="Tc_nu9mHWJTw0av-4mR0w8thg_12_2"/>
      <w:bookmarkStart w:id="1812" w:name="Tc_37IhU33aDEy6Z_Xnucyt1w_12_0"/>
      <w:bookmarkStart w:id="1813" w:name="Tc_kPIXNqaIyEunRAB7CL15WQ_11_6"/>
      <w:bookmarkStart w:id="1814" w:name="Tc_fdj818sul0SOu-dzoPV2HQ_11_2"/>
      <w:bookmarkStart w:id="1815" w:name="Tc_lUgT8Vld20Gak_jipJx2Yg_11_0"/>
      <w:bookmarkStart w:id="1816" w:name="Tc_eJ4WaWnR2ES7MBvRF-USKg_10_6"/>
      <w:bookmarkStart w:id="1817" w:name="Tc_L2Stelp4WEWUhWswrlnVwg_10_2"/>
      <w:bookmarkStart w:id="1818" w:name="Tc_9F1gvK96i0KsP8tkcCiWtw_10_0"/>
      <w:bookmarkStart w:id="1819" w:name="Tc_LelopBuHdki4QPm3l44ygg_9_6"/>
      <w:bookmarkStart w:id="1820" w:name="Tc_SPVsGTJEL0G-VCmTuO3NtA_9_2"/>
      <w:bookmarkStart w:id="1821" w:name="Tc_dOQYx876jUKi3Ok3iNPaFQ_9_0"/>
      <w:bookmarkStart w:id="1822" w:name="Tc_7RGQJ8gePkyaGmnjvgbYLg_8_6"/>
      <w:bookmarkStart w:id="1823" w:name="Tc_yxH-ZFrIFkuAhcNMZjizhg_8_2"/>
      <w:bookmarkStart w:id="1824" w:name="Tc_GUS9A2r7YEKpqsZ-Md6GVw_8_0"/>
      <w:bookmarkStart w:id="1825" w:name="Tc_1lSHtJoTy0ymm8HJja9-CA_7_6"/>
      <w:bookmarkStart w:id="1826" w:name="Tc_p3ilV-Moj0mWHvMYUdBOfw_7_2"/>
      <w:bookmarkStart w:id="1827" w:name="Tc_tF9YeXrEuEK42gsnqJNXCw_7_0"/>
      <w:bookmarkStart w:id="1828" w:name="Tc_BbN3uEq8eU2BO-QHAzZXOw_6_6"/>
      <w:bookmarkStart w:id="1829" w:name="Tc_46avJktcYEaKI5oTKp_XqA_6_2"/>
      <w:bookmarkStart w:id="1830" w:name="Tc_rdPADWwuE06HRATi2i3WOA_6_0"/>
      <w:bookmarkStart w:id="1831" w:name="Tc_KPbU3qqjnkuU4kcpbwN7Hw_5_8"/>
      <w:bookmarkStart w:id="1832" w:name="Tc_iLGN0sIM50yQFy3XTBls1A_5_6"/>
      <w:bookmarkStart w:id="1833" w:name="Tc_6pwE-Tk2kU62QGKiwAUeZQ_5_4"/>
      <w:bookmarkStart w:id="1834" w:name="Tc_cs_MFMSKSkeBOTTW3rXL_A_5_2"/>
      <w:bookmarkStart w:id="1835" w:name="Tc_i7XULx0PkEaHbBXIK6MMzA_5_0"/>
      <w:bookmarkStart w:id="1836" w:name="Tc_V7e2mKWSt0KUmrVR9VhTnQ_4_8"/>
      <w:bookmarkStart w:id="1837" w:name="Tc_9WIZOMcHMEKpaGkTB0GUuQ_4_6"/>
      <w:bookmarkStart w:id="1838" w:name="Tc_IMz9jVpcV0mdzv04s-_s2w_4_4"/>
      <w:bookmarkStart w:id="1839" w:name="Tc_9JETj8DxMEG7FKQA_7m5aQ_4_2"/>
      <w:bookmarkStart w:id="1840" w:name="Tc_z6VFlIJuokOMR1erEJSoOw_4_0"/>
      <w:bookmarkStart w:id="1841" w:name="Tc_W9_YdaCuqUSNOV5U8WkI7w_3_8"/>
      <w:bookmarkStart w:id="1842" w:name="Tc_ckFoZMv6DEaEI2UAh20EPg_3_6"/>
      <w:bookmarkStart w:id="1843" w:name="Tc_kojw9EjRJEKzUzzYzNgQNw_3_4"/>
      <w:bookmarkStart w:id="1844" w:name="Tc_MmiZjs1auESW7LvCo-WC8g_3_2"/>
      <w:bookmarkStart w:id="1845" w:name="Tc_EqfW1DNHFkGygXEvLBlOew_2_6"/>
      <w:bookmarkStart w:id="1846" w:name="Tc_fCpZtYQduk6XIA-pYa9gIw_2_2"/>
      <w:bookmarkStart w:id="1847" w:name="Tc_MpdZS6zdKEitZYSgX0U5XQ_1_6"/>
      <w:bookmarkStart w:id="1848" w:name="Tc_euzuJ7VhFUKKrUZ5S3krBg_1_2"/>
      <w:bookmarkStart w:id="1849" w:name="Tc_E4pO2QI39UGYOsY5I1C-IQ_14_6"/>
      <w:bookmarkStart w:id="1850" w:name="Tc_gobz511dpEer52erxP_yzA_14_2"/>
      <w:bookmarkStart w:id="1851" w:name="Tc_DkcXu-z3hUOvL3OCFZR4mw_14_0"/>
      <w:bookmarkStart w:id="1852" w:name="Tc_GlevMgp4jkyv0TDaPVSn2Q_13_2"/>
      <w:bookmarkStart w:id="1853" w:name="Tc_lkO4_RpPvkeeEaSRQYiRNg_13_0"/>
      <w:bookmarkStart w:id="1854" w:name="Tc_dkLYZKs3M0-HYXCoWngveg_12_6"/>
      <w:bookmarkStart w:id="1855" w:name="Tc_yUsCedOimU6GSzyL9ZvAYA_12_2"/>
      <w:bookmarkStart w:id="1856" w:name="Tc_b3dZy56ciUeiLYLNYO5uUA_12_0"/>
      <w:bookmarkStart w:id="1857" w:name="Tc_9895lfr0XUOKDMFZN6SWbQ_11_6"/>
      <w:bookmarkStart w:id="1858" w:name="Tc_SLYB8J20-Ue2pkQu_APcCQ_11_2"/>
      <w:bookmarkStart w:id="1859" w:name="Tc_5_cBcEsJXk-QX-wqU91-qg_11_0"/>
      <w:bookmarkStart w:id="1860" w:name="Tc_wSHGVqDNWkeI9q8d72-ZbQ_10_6"/>
      <w:bookmarkStart w:id="1861" w:name="Tc_Y_6zbd2YQ0ewLQwZ4dfyNA_10_2"/>
      <w:bookmarkStart w:id="1862" w:name="Tc_hDdrElK-jkGHKKuUy5Tp5w_10_0"/>
      <w:bookmarkStart w:id="1863" w:name="Tc_VBPmZxzt60mGxYHTkhY4og_9_6"/>
      <w:bookmarkStart w:id="1864" w:name="Tc_3vMVMNqwVUWOadDBm55KDQ_9_2"/>
      <w:bookmarkStart w:id="1865" w:name="Tc_c53wqhz3i0Wre8Z8HmZPdA_9_0"/>
      <w:bookmarkStart w:id="1866" w:name="Tc_q9Qg5u9LKECWhA58xhf8jQ_8_6"/>
      <w:bookmarkStart w:id="1867" w:name="Tc_R5bfNZq6MEmvOu-uSpOpbA_8_2"/>
      <w:bookmarkStart w:id="1868" w:name="Tc_8X68os0ulE6ayfyh617vPA_8_0"/>
      <w:bookmarkStart w:id="1869" w:name="Tc_iFnNiO3JVUyMarT6EykuEA_7_6"/>
      <w:bookmarkStart w:id="1870" w:name="Tc_Yy7Z00et8k2qyEkc6l33Ow_7_2"/>
      <w:bookmarkStart w:id="1871" w:name="Tc_sKS-T22UT0CZ4rs3iAl28A_7_0"/>
      <w:bookmarkStart w:id="1872" w:name="Tc_3Ay-sI_cVk2O5Mw7cPwaew_6_6"/>
      <w:bookmarkStart w:id="1873" w:name="Tc_ppwaB7_P-E6yjVEeUT-SrA_6_2"/>
      <w:bookmarkStart w:id="1874" w:name="Tc_xZc0nzlFekWkbvOh0J67jg_6_0"/>
      <w:bookmarkStart w:id="1875" w:name="Tc_AuEqba8bOkyGlkqyqkZEHw_5_8"/>
      <w:bookmarkStart w:id="1876" w:name="Tc_fuVY68HwK0K94JTDvuL99A_5_4"/>
      <w:bookmarkStart w:id="1877" w:name="Tc_njhsmqU6_UWHRnBAjO7vJg_5_2"/>
      <w:bookmarkStart w:id="1878" w:name="Tc_aRAKoBwlY0CbShQZ2D-C7Q_5_0"/>
      <w:bookmarkStart w:id="1879" w:name="Tc_SnVKYL1yAU60l808Tc3uCg_4_8"/>
      <w:bookmarkStart w:id="1880" w:name="Tc_v0vPowrkjUuPg2vFQ3re-g_4_6"/>
      <w:bookmarkStart w:id="1881" w:name="Tc_T8HkkssSRkWDGPLlELSOkA_4_4"/>
      <w:bookmarkStart w:id="1882" w:name="Tc_VDb9qRaHDEalPlKtJODiuQ_4_2"/>
      <w:bookmarkStart w:id="1883" w:name="Tc__NGeLWEdT0KeYuf1X4HTKg_4_0"/>
      <w:bookmarkStart w:id="1884" w:name="Tc_RZ_7Nu3a-0WFCzSRSmjOMQ_3_8"/>
      <w:bookmarkStart w:id="1885" w:name="Tc_Xds6tbISAUig-e0dEXDgFA_3_6"/>
      <w:bookmarkStart w:id="1886" w:name="Tc_lm3K6qhHIECVTBF5FdJu7Q_3_4"/>
      <w:bookmarkStart w:id="1887" w:name="Tc_Y12nwwpa9EOPqZpNk_dG9w_3_2"/>
      <w:bookmarkStart w:id="1888" w:name="Tc_MinGqUOV30y_u8U44gBvsw_2_6"/>
      <w:bookmarkStart w:id="1889" w:name="Tc_UqWHEA6bIEiKDV0CzXrRDQ_2_2"/>
      <w:bookmarkStart w:id="1890" w:name="Tc_RanjCMQu2UiAEW1Xx6wmhQ_1_6"/>
      <w:bookmarkStart w:id="1891" w:name="Tc_TrptBVbQOkSHuaW3wqA0VA_1_2"/>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bookmarkEnd w:id="1839"/>
      <w:bookmarkEnd w:id="1840"/>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bookmarkEnd w:id="1874"/>
      <w:bookmarkEnd w:id="1875"/>
      <w:bookmarkEnd w:id="1876"/>
      <w:bookmarkEnd w:id="1877"/>
      <w:bookmarkEnd w:id="1878"/>
      <w:bookmarkEnd w:id="1879"/>
      <w:bookmarkEnd w:id="1880"/>
      <w:bookmarkEnd w:id="1881"/>
      <w:bookmarkEnd w:id="1882"/>
      <w:bookmarkEnd w:id="1883"/>
      <w:bookmarkEnd w:id="1884"/>
      <w:bookmarkEnd w:id="1885"/>
      <w:bookmarkEnd w:id="1886"/>
      <w:bookmarkEnd w:id="1887"/>
      <w:bookmarkEnd w:id="1888"/>
      <w:bookmarkEnd w:id="1889"/>
      <w:bookmarkEnd w:id="1890"/>
      <w:bookmarkEnd w:id="1891"/>
      <w:r>
        <w:rPr>
          <w:rFonts w:ascii="Times New Roman;Times;serif" w:hAnsi="Times New Roman;Times;serif"/>
          <w:b/>
          <w:i w:val="false"/>
          <w:caps w:val="false"/>
          <w:smallCaps w:val="false"/>
          <w:sz w:val="20"/>
        </w:rPr>
        <w:t>30.2.</w:t>
      </w:r>
      <w:r>
        <w:rPr>
          <w:rFonts w:ascii="Times New Roman;Times;serif" w:hAnsi="Times New Roman;Times;serif"/>
          <w:b/>
          <w:i/>
          <w:sz w:val="20"/>
        </w:rPr>
        <w:t>  </w:t>
      </w:r>
      <w:r>
        <w:rPr>
          <w:rFonts w:ascii="Times New Roman;Times;serif" w:hAnsi="Times New Roman;Times;serif"/>
          <w:b/>
          <w:i w:val="false"/>
          <w:caps w:val="false"/>
          <w:smallCaps w:val="false"/>
          <w:sz w:val="20"/>
        </w:rPr>
        <w:t>Relationship and transactions with non-executive directors and holders of more than 3% of our share capital:</w:t>
      </w:r>
    </w:p>
    <w:p>
      <w:pPr>
        <w:pStyle w:val="TextBody"/>
        <w:bidi w:val="0"/>
        <w:spacing w:before="0" w:after="0"/>
        <w:ind w:left="0" w:right="0" w:hanging="0"/>
        <w:jc w:val="left"/>
        <w:rPr/>
      </w:pPr>
      <w:r>
        <w:rPr/>
        <w:t>​</w:t>
      </w:r>
    </w:p>
    <w:tbl>
      <w:tblPr>
        <w:tblW w:w="9279" w:type="dxa"/>
        <w:jc w:val="left"/>
        <w:tblInd w:w="0" w:type="dxa"/>
        <w:tblLayout w:type="fixed"/>
        <w:tblCellMar>
          <w:top w:w="0" w:type="dxa"/>
          <w:left w:w="0" w:type="dxa"/>
          <w:bottom w:w="0" w:type="dxa"/>
          <w:right w:w="0" w:type="dxa"/>
        </w:tblCellMar>
      </w:tblPr>
      <w:tblGrid>
        <w:gridCol w:w="3076"/>
        <w:gridCol w:w="346"/>
        <w:gridCol w:w="1276"/>
        <w:gridCol w:w="346"/>
        <w:gridCol w:w="1141"/>
        <w:gridCol w:w="346"/>
        <w:gridCol w:w="1216"/>
        <w:gridCol w:w="346"/>
        <w:gridCol w:w="118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1953260" cy="175260"/>
                      <wp:effectExtent l="0" t="0" r="0" b="0"/>
                      <wp:wrapNone/>
                      <wp:docPr id="475" name="Frame468"/>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19710" cy="175260"/>
                      <wp:effectExtent l="0" t="0" r="0" b="0"/>
                      <wp:wrapNone/>
                      <wp:docPr id="476"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810260" cy="175260"/>
                      <wp:effectExtent l="0" t="0" r="0" b="0"/>
                      <wp:wrapNone/>
                      <wp:docPr id="477" name="Frame470"/>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219710" cy="175260"/>
                      <wp:effectExtent l="0" t="0" r="0" b="0"/>
                      <wp:wrapNone/>
                      <wp:docPr id="478" name="Frame4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724535" cy="175260"/>
                      <wp:effectExtent l="0" t="0" r="0" b="0"/>
                      <wp:wrapNone/>
                      <wp:docPr id="479" name="Frame47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219710" cy="175260"/>
                      <wp:effectExtent l="0" t="0" r="0" b="0"/>
                      <wp:wrapNone/>
                      <wp:docPr id="480" name="Frame4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772160" cy="175260"/>
                      <wp:effectExtent l="0" t="0" r="0" b="0"/>
                      <wp:wrapNone/>
                      <wp:docPr id="481" name="Frame474"/>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219710" cy="175260"/>
                      <wp:effectExtent l="0" t="0" r="0" b="0"/>
                      <wp:wrapNone/>
                      <wp:docPr id="482" name="Frame4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753110" cy="175260"/>
                      <wp:effectExtent l="0" t="0" r="0" b="0"/>
                      <wp:wrapNone/>
                      <wp:docPr id="483" name="Frame47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six months ended</w:t>
            </w:r>
          </w:p>
        </w:tc>
        <w:tc>
          <w:tcPr>
            <w:tcW w:w="346" w:type="dxa"/>
            <w:tcBorders/>
            <w:vAlign w:val="center"/>
          </w:tcPr>
          <w:p>
            <w:pPr>
              <w:pStyle w:val="TableContents"/>
              <w:bidi w:val="0"/>
              <w:spacing w:before="0" w:after="0"/>
              <w:ind w:left="0" w:right="0" w:hanging="0"/>
              <w:jc w:val="center"/>
              <w:rPr/>
            </w:pPr>
            <w:r>
              <w:rPr/>
              <w:t>​</w:t>
            </w:r>
          </w:p>
        </w:tc>
        <w:tc>
          <w:tcPr>
            <w:tcW w:w="274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six months ended </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w:t>
            </w:r>
          </w:p>
        </w:tc>
        <w:tc>
          <w:tcPr>
            <w:tcW w:w="27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Set up of </w:t>
            </w:r>
          </w:p>
        </w:tc>
        <w:tc>
          <w:tcPr>
            <w:tcW w:w="34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Board</w:t>
            </w:r>
          </w:p>
        </w:tc>
        <w:tc>
          <w:tcPr>
            <w:tcW w:w="346" w:type="dxa"/>
            <w:tcBorders/>
            <w:vAlign w:val="center"/>
          </w:tcPr>
          <w:p>
            <w:pPr>
              <w:pStyle w:val="TableContents"/>
              <w:bidi w:val="0"/>
              <w:spacing w:before="0" w:after="0"/>
              <w:ind w:left="0" w:right="0" w:hanging="0"/>
              <w:jc w:val="center"/>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Set up of </w:t>
            </w:r>
          </w:p>
        </w:tc>
        <w:tc>
          <w:tcPr>
            <w:tcW w:w="34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Board</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center"/>
              <w:rPr/>
            </w:pPr>
            <w:r>
              <w:rPr/>
              <w:t>  ​ ​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Production Line</w:t>
            </w:r>
          </w:p>
        </w:tc>
        <w:tc>
          <w:tcPr>
            <w:tcW w:w="346" w:type="dxa"/>
            <w:tcBorders/>
            <w:vAlign w:val="center"/>
          </w:tcPr>
          <w:p>
            <w:pPr>
              <w:pStyle w:val="TableContents"/>
              <w:bidi w:val="0"/>
              <w:spacing w:before="0" w:after="0"/>
              <w:ind w:left="0" w:right="0" w:hanging="0"/>
              <w:jc w:val="center"/>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Remuneration</w:t>
            </w:r>
          </w:p>
        </w:tc>
        <w:tc>
          <w:tcPr>
            <w:tcW w:w="346" w:type="dxa"/>
            <w:tcBorders/>
            <w:vAlign w:val="center"/>
          </w:tcPr>
          <w:p>
            <w:pPr>
              <w:pStyle w:val="TableContents"/>
              <w:bidi w:val="0"/>
              <w:spacing w:before="0" w:after="0"/>
              <w:ind w:left="0" w:right="0" w:hanging="0"/>
              <w:jc w:val="center"/>
              <w:rPr/>
            </w:pPr>
            <w:r>
              <w:rPr/>
              <w:t>  ​ ​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Production line</w:t>
            </w:r>
          </w:p>
        </w:tc>
        <w:tc>
          <w:tcPr>
            <w:tcW w:w="346" w:type="dxa"/>
            <w:tcBorders/>
            <w:vAlign w:val="center"/>
          </w:tcPr>
          <w:p>
            <w:pPr>
              <w:pStyle w:val="TableContents"/>
              <w:bidi w:val="0"/>
              <w:spacing w:before="0" w:after="0"/>
              <w:ind w:left="0" w:right="0" w:hanging="0"/>
              <w:jc w:val="center"/>
              <w:rPr/>
            </w:pPr>
            <w:r>
              <w:rPr/>
              <w:t>  ​ ​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Remuneration</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Cochlear</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Robelga SRL</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Rakin</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Gianello</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Jurgen Hambrecht</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Rita Mills</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Giny Kirby</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Wildman Ventures LLC</w:t>
            </w:r>
          </w:p>
        </w:tc>
        <w:tc>
          <w:tcPr>
            <w:tcW w:w="346" w:type="dxa"/>
            <w:tcBorders/>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285</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252</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outstanding at period-end</w:t>
            </w:r>
          </w:p>
        </w:tc>
        <w:tc>
          <w:tcPr>
            <w:tcW w:w="34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46"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110</w:t>
            </w:r>
          </w:p>
        </w:tc>
      </w:tr>
    </w:tbl>
    <w:p>
      <w:pPr>
        <w:pStyle w:val="TextBody"/>
        <w:bidi w:val="0"/>
        <w:spacing w:before="0" w:after="0"/>
        <w:ind w:left="0" w:right="0" w:hanging="0"/>
        <w:jc w:val="left"/>
        <w:rPr/>
      </w:pPr>
      <w:r>
        <w:rPr/>
        <w:t>​</w:t>
      </w:r>
    </w:p>
    <w:tbl>
      <w:tblPr>
        <w:tblW w:w="9279" w:type="dxa"/>
        <w:jc w:val="left"/>
        <w:tblInd w:w="0" w:type="dxa"/>
        <w:tblLayout w:type="fixed"/>
        <w:tblCellMar>
          <w:top w:w="0" w:type="dxa"/>
          <w:left w:w="0" w:type="dxa"/>
          <w:bottom w:w="0" w:type="dxa"/>
          <w:right w:w="0" w:type="dxa"/>
        </w:tblCellMar>
      </w:tblPr>
      <w:tblGrid>
        <w:gridCol w:w="3076"/>
        <w:gridCol w:w="346"/>
        <w:gridCol w:w="1276"/>
        <w:gridCol w:w="346"/>
        <w:gridCol w:w="1141"/>
        <w:gridCol w:w="346"/>
        <w:gridCol w:w="1216"/>
        <w:gridCol w:w="346"/>
        <w:gridCol w:w="1186"/>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1953260" cy="175260"/>
                      <wp:effectExtent l="0" t="0" r="0" b="0"/>
                      <wp:wrapNone/>
                      <wp:docPr id="484" name="Frame477"/>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19710" cy="175260"/>
                      <wp:effectExtent l="0" t="0" r="0" b="0"/>
                      <wp:wrapNone/>
                      <wp:docPr id="485" name="Frame4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810260" cy="175260"/>
                      <wp:effectExtent l="0" t="0" r="0" b="0"/>
                      <wp:wrapNone/>
                      <wp:docPr id="486" name="Frame479"/>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19710" cy="175260"/>
                      <wp:effectExtent l="0" t="0" r="0" b="0"/>
                      <wp:wrapNone/>
                      <wp:docPr id="487" name="Frame4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724535" cy="175260"/>
                      <wp:effectExtent l="0" t="0" r="0" b="0"/>
                      <wp:wrapNone/>
                      <wp:docPr id="488" name="Frame48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19710" cy="175260"/>
                      <wp:effectExtent l="0" t="0" r="0" b="0"/>
                      <wp:wrapNone/>
                      <wp:docPr id="489" name="Frame4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772160" cy="175260"/>
                      <wp:effectExtent l="0" t="0" r="0" b="0"/>
                      <wp:wrapNone/>
                      <wp:docPr id="490" name="Frame483"/>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19710" cy="175260"/>
                      <wp:effectExtent l="0" t="0" r="0" b="0"/>
                      <wp:wrapNone/>
                      <wp:docPr id="491" name="Frame48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753110" cy="175260"/>
                      <wp:effectExtent l="0" t="0" r="0" b="0"/>
                      <wp:wrapNone/>
                      <wp:docPr id="492" name="Frame485"/>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763"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three months ended</w:t>
            </w:r>
          </w:p>
        </w:tc>
        <w:tc>
          <w:tcPr>
            <w:tcW w:w="346" w:type="dxa"/>
            <w:tcBorders/>
            <w:vAlign w:val="center"/>
          </w:tcPr>
          <w:p>
            <w:pPr>
              <w:pStyle w:val="TableContents"/>
              <w:bidi w:val="0"/>
              <w:spacing w:before="0" w:after="0"/>
              <w:ind w:left="0" w:right="0" w:hanging="0"/>
              <w:jc w:val="center"/>
              <w:rPr/>
            </w:pPr>
            <w:r>
              <w:rPr/>
              <w:t>  ​ ​ ​</w:t>
            </w:r>
          </w:p>
        </w:tc>
        <w:tc>
          <w:tcPr>
            <w:tcW w:w="2748"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For the three months ended </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76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346" w:type="dxa"/>
            <w:tcBorders/>
            <w:vAlign w:val="center"/>
          </w:tcPr>
          <w:p>
            <w:pPr>
              <w:pStyle w:val="TableContents"/>
              <w:bidi w:val="0"/>
              <w:spacing w:before="0" w:after="0"/>
              <w:ind w:left="0" w:right="0" w:hanging="0"/>
              <w:jc w:val="center"/>
              <w:rPr/>
            </w:pPr>
            <w:r>
              <w:rPr/>
              <w:t>​</w:t>
            </w:r>
          </w:p>
        </w:tc>
        <w:tc>
          <w:tcPr>
            <w:tcW w:w="274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2025</w:t>
            </w:r>
          </w:p>
        </w:tc>
      </w:tr>
      <w:tr>
        <w:trPr/>
        <w:tc>
          <w:tcPr>
            <w:tcW w:w="30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2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Set up of </w:t>
            </w:r>
          </w:p>
        </w:tc>
        <w:tc>
          <w:tcPr>
            <w:tcW w:w="346" w:type="dxa"/>
            <w:tcBorders/>
            <w:vAlign w:val="center"/>
          </w:tcPr>
          <w:p>
            <w:pPr>
              <w:pStyle w:val="TableContents"/>
              <w:bidi w:val="0"/>
              <w:spacing w:before="0" w:after="0"/>
              <w:ind w:left="0" w:right="0" w:hanging="0"/>
              <w:jc w:val="center"/>
              <w:rPr/>
            </w:pPr>
            <w:r>
              <w:rPr/>
              <w:t>  ​ ​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Board </w:t>
            </w:r>
          </w:p>
        </w:tc>
        <w:tc>
          <w:tcPr>
            <w:tcW w:w="346" w:type="dxa"/>
            <w:tcBorders/>
            <w:vAlign w:val="center"/>
          </w:tcPr>
          <w:p>
            <w:pPr>
              <w:pStyle w:val="TableContents"/>
              <w:bidi w:val="0"/>
              <w:spacing w:before="0" w:after="0"/>
              <w:ind w:left="0" w:right="0" w:hanging="0"/>
              <w:jc w:val="center"/>
              <w:rPr/>
            </w:pPr>
            <w:r>
              <w:rPr/>
              <w:t>  ​ ​ ​</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Set up of </w:t>
            </w:r>
          </w:p>
        </w:tc>
        <w:tc>
          <w:tcPr>
            <w:tcW w:w="346" w:type="dxa"/>
            <w:tcBorders/>
            <w:vAlign w:val="center"/>
          </w:tcPr>
          <w:p>
            <w:pPr>
              <w:pStyle w:val="TableContents"/>
              <w:bidi w:val="0"/>
              <w:spacing w:before="0" w:after="0"/>
              <w:ind w:left="0" w:right="0" w:hanging="0"/>
              <w:jc w:val="center"/>
              <w:rPr/>
            </w:pPr>
            <w:r>
              <w:rPr/>
              <w:t>  ​ ​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Board </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EUR 000)</w:t>
            </w:r>
          </w:p>
        </w:tc>
        <w:tc>
          <w:tcPr>
            <w:tcW w:w="34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Production Line</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Remuneration</w:t>
            </w:r>
          </w:p>
        </w:tc>
        <w:tc>
          <w:tcPr>
            <w:tcW w:w="346"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Production line</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Remuneration</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Cochlear</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Robelga SRL</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Kevin Rakin</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Pierre Gianello</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Jurgen Hambrecht</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Rita Mills</w:t>
            </w:r>
          </w:p>
        </w:tc>
        <w:tc>
          <w:tcPr>
            <w:tcW w:w="346"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Giny Kirby</w:t>
            </w:r>
          </w:p>
        </w:tc>
        <w:tc>
          <w:tcPr>
            <w:tcW w:w="346"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Wildman Ventures LLC</w:t>
            </w:r>
          </w:p>
        </w:tc>
        <w:tc>
          <w:tcPr>
            <w:tcW w:w="346" w:type="dxa"/>
            <w:tcBorders/>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307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shd w:fill="CCEEFF" w:val="clear"/>
            <w:vAlign w:val="center"/>
          </w:tcPr>
          <w:p>
            <w:pPr>
              <w:pStyle w:val="TableContents"/>
              <w:bidi w:val="0"/>
              <w:spacing w:before="0" w:after="0"/>
              <w:ind w:left="0" w:right="0" w:hanging="0"/>
              <w:jc w:val="left"/>
              <w:rPr/>
            </w:pPr>
            <w:r>
              <w:rPr/>
              <w:t> </w:t>
            </w:r>
          </w:p>
        </w:tc>
        <w:tc>
          <w:tcPr>
            <w:tcW w:w="12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346" w:type="dxa"/>
            <w:tcBorders/>
            <w:shd w:fill="CCEEFF" w:val="clear"/>
            <w:vAlign w:val="center"/>
          </w:tcPr>
          <w:p>
            <w:pPr>
              <w:pStyle w:val="TableContents"/>
              <w:bidi w:val="0"/>
              <w:spacing w:before="0" w:after="0"/>
              <w:ind w:left="0" w:right="0" w:hanging="0"/>
              <w:jc w:val="left"/>
              <w:rPr/>
            </w:pPr>
            <w:r>
              <w:rPr/>
              <w:t> </w:t>
            </w:r>
          </w:p>
        </w:tc>
        <w:tc>
          <w:tcPr>
            <w:tcW w:w="12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122</w:t>
            </w:r>
          </w:p>
        </w:tc>
      </w:tr>
      <w:tr>
        <w:trPr/>
        <w:tc>
          <w:tcPr>
            <w:tcW w:w="3076"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Amounts outstanding at period-end</w:t>
            </w:r>
          </w:p>
        </w:tc>
        <w:tc>
          <w:tcPr>
            <w:tcW w:w="346" w:type="dxa"/>
            <w:tcBorders/>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111</w:t>
            </w:r>
          </w:p>
        </w:tc>
        <w:tc>
          <w:tcPr>
            <w:tcW w:w="346"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110</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period ended June 30, 2026, our non-executive directors were: Robelga SRL (permanently represented by Robert Taub), Jürgen Hambrecht, Kevin Rakin, Rita Johnson-Mills, Virigina Kirby, Wildman Ventures, LLC (permanently represented by Daniel Wildman) and Pierre Gianello.</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warrant expense under IFRS 2 related to the warrants that were granted to the non-executive directors amounted to €455,000 for the period ended June 30, 2026, (€0.8 million for the period ended June 30,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and Cochlear Limited, or Cochlear, have entered into a collaboration agreement, dated January 2023, related to the transfer of assets and related support for the setting up of a production line in the U.S. This statement scope of work led to no financial impact for the six months ended June 30, 2026 and financial impact of €52,000 for six months ended June 30, 2025 and was recognized as part of assets under construction.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28, 2023, the Company announced a partnership with ResMed in Germany to increase OSA awareness and therapy penetration in the German market. The Company and ResMed Germany will establish a continuum of care that will educate and guide OSA patients in the German market from diagnosis through treatment. Together, the companies will work to accelerate patient identification and better support patient set-up on the appropriate therapy.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Effective as of October 1, 2024, the Company entered into a collaboration agreement with Man &amp; Science SA to develop a miniaturized injectable neuromodulation device. The Company retains exclusive rights for its use in treating obstructive sleep apnea.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30.3.  Relationship and transactions with members of key management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period ended June 30, 2026 and June 30, 2025, our key management consisted of the members of executive management: Olivier Taelman (CEO), John Landry (CFO), Scott Holstine (CCO) and Bruno Onkelinx (CTO).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From August 19, 2024 until September 1, 2025, Olivier Taelman temporarily relocated to the U.S. Since then, he performs his function as CEO of the Company partially on a self-employed basis in accordance with a service agreement between Nyxoah SA and Olivier Taelman and partially as employee of Nyxoah Inc. As from September 1, 2025, Olivier Taelman moved back to Belgium and from that date he is performing his function as CEO of the Company on a self-employed basis in accordance with a service agreement between Nyxoah SA and Olivier Taelman.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June 2026, Olivier Taelman, together with the Board of Directors, has decided that this is the right moment to transition leadership to a U.S.-based Chief Executive Officer as the Company enters its next phase of U.S.-driven growth and value creation. The Board has formally launched a search process to appoint a new U.S.-based CEO who will lead Nyxoah from within a critical market for the Company’s future growth. He will remain fully engaged during the transition period, continuing to lead the Company’s daily operations and to support a smooth onboarding and successful transition to the future CEO.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Bruno Onkelinx is an employee of Nyxoah SA. John Landry and Scott Holstine are employees of Nyxoah Inc.</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Members of our key management were granted warrants during the period ended June 30, 2026 and June 30, 2025.</w:t>
      </w:r>
    </w:p>
    <w:p>
      <w:pPr>
        <w:pStyle w:val="TextBody"/>
        <w:bidi w:val="0"/>
        <w:spacing w:before="0" w:after="240"/>
        <w:ind w:left="0" w:right="0" w:hanging="0"/>
        <w:jc w:val="left"/>
        <w:rPr>
          <w:rFonts w:ascii="Times New Roman;Times;serif" w:hAnsi="Times New Roman;Times;serif"/>
          <w:b/>
          <w:sz w:val="20"/>
        </w:rPr>
      </w:pPr>
      <w:bookmarkStart w:id="1892" w:name="a29EventsaftertheBalanceSheetDate_554749"/>
      <w:bookmarkEnd w:id="1892"/>
      <w:r>
        <w:rPr>
          <w:rFonts w:ascii="Times New Roman;Times;serif" w:hAnsi="Times New Roman;Times;serif"/>
          <w:b/>
          <w:i w:val="false"/>
          <w:caps w:val="false"/>
          <w:smallCaps w:val="false"/>
          <w:sz w:val="20"/>
        </w:rPr>
        <w:t>31.</w:t>
      </w:r>
      <w:r>
        <w:rPr>
          <w:rFonts w:ascii="Times New Roman;Times;serif" w:hAnsi="Times New Roman;Times;serif"/>
          <w:b/>
          <w:sz w:val="20"/>
        </w:rPr>
        <w:t>Events after the Balance-Sheet Date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are no events after the balance-sheet date.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893" w:name="RESPONSIBILITYSTATEMENT_369043"/>
      <w:bookmarkStart w:id="1894" w:name="_eff1a057_908e_426f_af0b_60e5ef8ffaf9"/>
      <w:bookmarkEnd w:id="1893"/>
      <w:bookmarkEnd w:id="1894"/>
      <w:r>
        <w:rPr>
          <w:rFonts w:ascii="Times New Roman;Times;serif" w:hAnsi="Times New Roman;Times;serif"/>
          <w:b/>
          <w:sz w:val="20"/>
        </w:rPr>
        <w:t>RESPONSIBILITY STATEMENT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certify that, to the best of our knowledge,</w:t>
      </w:r>
    </w:p>
    <w:tbl>
      <w:tblPr>
        <w:tblW w:w="10205" w:type="dxa"/>
        <w:jc w:val="left"/>
        <w:tblInd w:w="0" w:type="dxa"/>
        <w:tblLayout w:type="fixed"/>
        <w:tblCellMar>
          <w:top w:w="0" w:type="dxa"/>
          <w:left w:w="0" w:type="dxa"/>
          <w:bottom w:w="0" w:type="dxa"/>
          <w:right w:w="0" w:type="dxa"/>
        </w:tblCellMar>
      </w:tblPr>
      <w:tblGrid>
        <w:gridCol w:w="233"/>
        <w:gridCol w:w="9972"/>
      </w:tblGrid>
      <w:tr>
        <w:trPr/>
        <w:tc>
          <w:tcPr>
            <w:tcW w:w="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interim financial statement, prepared in accordance with the applicable standards for financial statements, give a true and fair view of the assets, liabilities, financial position and results of the Company and the undertakings included in the consolidation taken as a whole; and</w:t>
            </w:r>
          </w:p>
        </w:tc>
      </w:tr>
    </w:tbl>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interim management report provides a true and fair overview of the development, results and the position of the Company and the undertakings included in the consolidation taken as a whole, as well as a description of the principal risks and uncertainties that they face.</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Mont-Saint-Guibert, August 5,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behalf of the board of directors</w:t>
      </w:r>
    </w:p>
    <w:tbl>
      <w:tblPr>
        <w:tblW w:w="5373" w:type="dxa"/>
        <w:jc w:val="left"/>
        <w:tblInd w:w="0" w:type="dxa"/>
        <w:tblLayout w:type="fixed"/>
        <w:tblCellMar>
          <w:top w:w="0" w:type="dxa"/>
          <w:left w:w="0" w:type="dxa"/>
          <w:bottom w:w="0" w:type="dxa"/>
          <w:right w:w="0" w:type="dxa"/>
        </w:tblCellMar>
      </w:tblPr>
      <w:tblGrid>
        <w:gridCol w:w="3556"/>
        <w:gridCol w:w="346"/>
        <w:gridCol w:w="147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258060" cy="175260"/>
                      <wp:effectExtent l="0" t="0" r="0" b="0"/>
                      <wp:wrapNone/>
                      <wp:docPr id="493" name="Frame486"/>
                      <a:graphic xmlns:a="http://schemas.openxmlformats.org/drawingml/2006/main">
                        <a:graphicData uri="http://schemas.microsoft.com/office/word/2010/wordprocessingShape">
                          <wps:wsp>
                            <wps:cNvSpPr txBox="1"/>
                            <wps:spPr>
                              <a:xfrm>
                                <a:off x="0" y="0"/>
                                <a:ext cx="2258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934085" cy="175260"/>
                      <wp:effectExtent l="0" t="0" r="0" b="0"/>
                      <wp:wrapNone/>
                      <wp:docPr id="494" name="Frame487"/>
                      <a:graphic xmlns:a="http://schemas.openxmlformats.org/drawingml/2006/main">
                        <a:graphicData uri="http://schemas.microsoft.com/office/word/2010/wordprocessingShape">
                          <wps:wsp>
                            <wps:cNvSpPr txBox="1"/>
                            <wps:spPr>
                              <a:xfrm>
                                <a:off x="0" y="0"/>
                                <a:ext cx="934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Robelga SRL</w:t>
            </w:r>
          </w:p>
        </w:tc>
        <w:tc>
          <w:tcPr>
            <w:tcW w:w="346" w:type="dxa"/>
            <w:tcBorders/>
            <w:vAlign w:val="center"/>
          </w:tcPr>
          <w:p>
            <w:pPr>
              <w:pStyle w:val="TableContents"/>
              <w:bidi w:val="0"/>
              <w:spacing w:before="0" w:after="0"/>
              <w:ind w:left="0" w:right="0" w:hanging="0"/>
              <w:jc w:val="left"/>
              <w:rPr/>
            </w:pPr>
            <w:r>
              <w:rPr/>
              <w:t>  ​ ​ ​</w:t>
            </w:r>
          </w:p>
        </w:tc>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Olivier Taelman</w:t>
            </w:r>
          </w:p>
        </w:tc>
      </w:tr>
      <w:tr>
        <w:trPr/>
        <w:tc>
          <w:tcPr>
            <w:tcW w:w="35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(permanently represented by Robert Taub)</w:t>
            </w:r>
          </w:p>
        </w:tc>
        <w:tc>
          <w:tcPr>
            <w:tcW w:w="346" w:type="dxa"/>
            <w:tcBorders/>
            <w:vAlign w:val="center"/>
          </w:tcPr>
          <w:p>
            <w:pPr>
              <w:pStyle w:val="TableContents"/>
              <w:bidi w:val="0"/>
              <w:spacing w:before="0" w:after="0"/>
              <w:ind w:left="0" w:right="0" w:hanging="0"/>
              <w:jc w:val="left"/>
              <w:rPr/>
            </w:pPr>
            <w:r>
              <w:rPr/>
              <w:t>​</w:t>
            </w:r>
          </w:p>
        </w:tc>
        <w:tc>
          <w:tcPr>
            <w:tcW w:w="1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CEO</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2"/>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18474</Words>
  <Characters>97286</Characters>
  <CharactersWithSpaces>117914</CharactersWithSpaces>
  <Paragraphs>7422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