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Nyxoah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CVI Investments,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11,014,861.00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11,014,861.00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11,014,861.00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Heights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11,014,861.00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11,014,861.00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11,014,861.00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0"/>
        <w:gridCol w:w="8940"/>
        <w:gridCol w:w="155"/>
      </w:tblGrid>
      <w:tr>
        <w:trPr/>
        <w:tc>
          <w:tcPr>
            <w:tcW w:w="1110" w:type="dxa"/>
            <w:tcBorders/>
            <w:vAlign w:val="center"/>
          </w:tcPr>
          <w:p>
            <w:pPr>
              <w:pStyle w:val="TableContents"/>
              <w:bidi w:val="0"/>
              <w:spacing w:before="0" w:after="283"/>
              <w:jc w:val="left"/>
              <w:rPr/>
            </w:pPr>
            <w:r>
              <w:rPr/>
              <w:t>Item 1.</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issuer: </w:t>
            </w:r>
          </w:p>
          <w:p>
            <w:pPr>
              <w:pStyle w:val="TableContents"/>
              <w:bidi w:val="0"/>
              <w:spacing w:before="0" w:after="0"/>
              <w:jc w:val="left"/>
              <w:rPr/>
            </w:pPr>
            <w:r>
              <w:rPr/>
              <w:t>Nyxoah SA</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 xml:space="preserve">Rue Edouard Belin 12, 1435 Mont-Saint-Guibert, Belgium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2.</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the entities listed below, who are collectively referred to herein as "Reporting Persons," with respect to the Ordinary Shares of Nyxoah SA (the "Company"), no par value (the "Shares"). (i) CVI Investments, Inc. (ii) Heights Capital Management, Inc.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3.</w:t>
            </w:r>
          </w:p>
        </w:tc>
        <w:tc>
          <w:tcPr>
            <w:tcW w:w="894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(f)</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(g)</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(h)</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(j)</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(k)</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9095" w:type="dxa"/>
            <w:gridSpan w:val="2"/>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4.</w:t>
            </w:r>
          </w:p>
        </w:tc>
        <w:tc>
          <w:tcPr>
            <w:tcW w:w="894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4(a) is set forth in Row 9 of the cover page for each Reporting Person hereto and is incorporated herein by reference for each such Reporting Person. The number of Shares reported as beneficially owned consists of (i) 828,803 Shares, and (ii) Shares issuable upon the conversion of convertible notes. The convertible notes may not be converted into Shares to the extent that the total number of Shares then beneficially owned by a Reporting Person and its affiliates and any other persons whose beneficial ownership of Shares would be aggregated with such Reporting Person for purposes of Section 13(d) of the Exchange Act, would exceed 9.99%. Exhibit 99.2 to the Company's Report of Foreign Private Issuer on Form 6-K, filed on August 5, 2026, indicates there were 100,072,815 Shares outstanding as of June 30, 2026.</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this Item 4(c)(i) is set forth in Row 5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this Item 4(c)(iii) is set forth in Row 7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5.</w:t>
            </w:r>
          </w:p>
        </w:tc>
        <w:tc>
          <w:tcPr>
            <w:tcW w:w="894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894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7.</w:t>
            </w:r>
          </w:p>
        </w:tc>
        <w:tc>
          <w:tcPr>
            <w:tcW w:w="894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8.</w:t>
            </w:r>
          </w:p>
        </w:tc>
        <w:tc>
          <w:tcPr>
            <w:tcW w:w="894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9.</w:t>
            </w:r>
          </w:p>
        </w:tc>
        <w:tc>
          <w:tcPr>
            <w:tcW w:w="894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 xml:space="preserve">CVI Investments, Inc. </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Sarah Travis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Sarah Travis, Assistant General Counsel and Assistant Secretary of Heights Capital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 xml:space="preserve">Heights Capital Management, Inc. </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Sarah Travis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Sarah Travis, Assistant General Counsel and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Heights Capital Management, Inc. serves as authorized agent of CVI Investments, Inc. pursuant to a Limited Power of Attorney, a copy of which was previously filed.</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INDEX EXHIBIT DESCRIPTION 24 Limited Power of Attorney* 99 Joint Filing Agreement* * Previously filed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1472</Words>
  <Characters>7678</Characters>
  <CharactersWithSpaces>9130</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